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6DE35" w14:textId="00B787B1" w:rsidR="004564E7" w:rsidRPr="002929CE" w:rsidRDefault="004C35F8" w:rsidP="002929CE">
      <w:pPr>
        <w:pStyle w:val="Introparagraph"/>
        <w:spacing w:after="120"/>
        <w:contextualSpacing/>
        <w:rPr>
          <w:spacing w:val="-2"/>
          <w:sz w:val="16"/>
          <w:szCs w:val="16"/>
        </w:rPr>
      </w:pPr>
      <w:r w:rsidRPr="002929CE">
        <w:rPr>
          <w:spacing w:val="-2"/>
          <w:sz w:val="16"/>
          <w:szCs w:val="16"/>
        </w:rPr>
        <w:t>This document is being distributed by Turquoise Global Holdings Limited only to, and is directed only at</w:t>
      </w:r>
      <w:r w:rsidR="004C7FBC" w:rsidRPr="002929CE">
        <w:rPr>
          <w:spacing w:val="-2"/>
          <w:sz w:val="16"/>
          <w:szCs w:val="16"/>
        </w:rPr>
        <w:t>,</w:t>
      </w:r>
      <w:r w:rsidRPr="002929CE">
        <w:rPr>
          <w:spacing w:val="-2"/>
          <w:sz w:val="16"/>
          <w:szCs w:val="16"/>
        </w:rPr>
        <w:t xml:space="preserve"> (a) persons who have professional experience in matters relating to investments</w:t>
      </w:r>
      <w:r w:rsidR="004C7FBC" w:rsidRPr="002929CE">
        <w:rPr>
          <w:spacing w:val="-2"/>
          <w:sz w:val="16"/>
          <w:szCs w:val="16"/>
        </w:rPr>
        <w:t>,</w:t>
      </w:r>
      <w:r w:rsidRPr="002929CE">
        <w:rPr>
          <w:spacing w:val="-2"/>
          <w:sz w:val="16"/>
          <w:szCs w:val="16"/>
        </w:rPr>
        <w:t xml:space="preserve"> who fall within Article 19(1) of the FSMA 2000 (Financial Promotion) Order 2005</w:t>
      </w:r>
      <w:r w:rsidR="004C7FBC" w:rsidRPr="002929CE">
        <w:rPr>
          <w:spacing w:val="-2"/>
          <w:sz w:val="16"/>
          <w:szCs w:val="16"/>
        </w:rPr>
        <w:t>,</w:t>
      </w:r>
      <w:r w:rsidRPr="002929CE">
        <w:rPr>
          <w:spacing w:val="-2"/>
          <w:sz w:val="16"/>
          <w:szCs w:val="16"/>
        </w:rPr>
        <w:t xml:space="preserve"> and (b) persons to whom it may otherwise lawfully be communicated (together “relevant persons”). Any investment or investment activity to which this document relates is available only to</w:t>
      </w:r>
      <w:r w:rsidR="004C7FBC" w:rsidRPr="002929CE">
        <w:rPr>
          <w:spacing w:val="-2"/>
          <w:sz w:val="16"/>
          <w:szCs w:val="16"/>
        </w:rPr>
        <w:t>,</w:t>
      </w:r>
      <w:r w:rsidRPr="002929CE">
        <w:rPr>
          <w:spacing w:val="-2"/>
          <w:sz w:val="16"/>
          <w:szCs w:val="16"/>
        </w:rPr>
        <w:t xml:space="preserve"> and will be engaged in only with, relevant persons. Any person who is not a relevant person should not act or rely on this document or any of its contents. Turquoise Global Holdings Limited is authorised and regulated by the Financial Conduct Authority.</w:t>
      </w:r>
    </w:p>
    <w:p w14:paraId="25C29A90" w14:textId="1C1FE929" w:rsidR="006030D4" w:rsidRDefault="006030D4" w:rsidP="002929CE">
      <w:pPr>
        <w:pStyle w:val="Heading1"/>
        <w:spacing w:before="300"/>
        <w:ind w:left="432" w:hanging="432"/>
      </w:pPr>
      <w:r>
        <w:t>1.0</w:t>
      </w:r>
      <w:r>
        <w:tab/>
        <w:t>Liquidity Provider Agreement: General Provisions</w:t>
      </w:r>
    </w:p>
    <w:p w14:paraId="704189EF" w14:textId="77777777" w:rsidR="004C35F8" w:rsidRDefault="004C35F8" w:rsidP="004C35F8">
      <w:r>
        <w:t>As per rule 4.3 of the Turquoise Rule Book, a Liquidity Provider (LP) status is available to Members.</w:t>
      </w:r>
    </w:p>
    <w:p w14:paraId="1D558BD7" w14:textId="5F2FC1BA" w:rsidR="004C35F8" w:rsidRDefault="004C35F8" w:rsidP="004C35F8">
      <w:r>
        <w:t xml:space="preserve">A LP must formally register for each specific Liquidity Provision Scheme in which they wish to participate, and then within each such specified Scheme is required to register the particular securities in which they will participate. In order to register for a Liquidity Provision Scheme, Members should complete and return this Agreement together with the relevant schedule applicable to the Scheme for which it wishes to register, available at </w:t>
      </w:r>
      <w:hyperlink r:id="rId7" w:history="1">
        <w:r w:rsidR="003A44A5" w:rsidRPr="008C1752">
          <w:rPr>
            <w:rStyle w:val="Hyperlink"/>
          </w:rPr>
          <w:t>www.tradeturquoise.com</w:t>
        </w:r>
      </w:hyperlink>
      <w:r>
        <w:t>.</w:t>
      </w:r>
    </w:p>
    <w:p w14:paraId="75E26DE0" w14:textId="77777777" w:rsidR="004C35F8" w:rsidRDefault="004C35F8" w:rsidP="004C35F8">
      <w:r>
        <w:t>Turquoise</w:t>
      </w:r>
      <w:r w:rsidRPr="007005B8">
        <w:rPr>
          <w:vertAlign w:val="superscript"/>
        </w:rPr>
        <w:t>®</w:t>
      </w:r>
      <w:r>
        <w:t xml:space="preserve"> (TGHL) will then monitor the Liquidity Provider’s trading activities in relation to the securities and Scheme(s) for which it has registered, and may provide the LP with reports of its activities.</w:t>
      </w:r>
    </w:p>
    <w:p w14:paraId="0A9E221D" w14:textId="77777777" w:rsidR="004C35F8" w:rsidRDefault="004C35F8" w:rsidP="004C35F8">
      <w:r>
        <w:t>The LP must deal as principal in the relevant securities set out in the schedules to this Agreement.</w:t>
      </w:r>
    </w:p>
    <w:p w14:paraId="6F8F7033" w14:textId="77777777" w:rsidR="004C35F8" w:rsidRDefault="004C35F8" w:rsidP="004C35F8">
      <w:r>
        <w:t>Liquidity Provision in this context means trades undertaken to meet the Liquidity Provision Obligations, and the respective transactions related to this business in the genuine capacity of liquidity provision.</w:t>
      </w:r>
    </w:p>
    <w:p w14:paraId="6CD0412C" w14:textId="77777777" w:rsidR="004C35F8" w:rsidRDefault="004C35F8" w:rsidP="004C35F8">
      <w:r>
        <w:t>In order to remain classified as a LP on TGHL, the Member must meet the Liquidity Provider Obligations as set out below and in the relevant schedules.</w:t>
      </w:r>
    </w:p>
    <w:p w14:paraId="2A407ECE" w14:textId="266859BF" w:rsidR="009E35E4" w:rsidRDefault="004C35F8" w:rsidP="009E35E4">
      <w:r>
        <w:t>In entering into this Agreement the Member acknowledges that from time to time</w:t>
      </w:r>
      <w:r w:rsidR="004C7FBC">
        <w:t>,</w:t>
      </w:r>
      <w:r>
        <w:t xml:space="preserve"> the Liquidity Provider Obligations and terms of a Scheme (including, without limitation, the securities applicable to a Scheme) may be varied by TGHL and new Schemes may be included or withdrawn under this Agreement. Members may elect to register for any such varied Scheme or any new Scheme by completing the relevant schedule and returning it to TGHL. Members may also amend</w:t>
      </w:r>
      <w:r w:rsidR="009E35E4">
        <w:t xml:space="preserve"> the options that they have selected under each Scheme by completing the relevant schedule and returning it to TGHL.</w:t>
      </w:r>
    </w:p>
    <w:p w14:paraId="074D60A2" w14:textId="77777777" w:rsidR="009E35E4" w:rsidRDefault="009E35E4" w:rsidP="009E35E4">
      <w:r>
        <w:t>TGHL has the right to publish the Liquidity Provider’s status and will inform its Members accordingly.</w:t>
      </w:r>
    </w:p>
    <w:p w14:paraId="3E80D861" w14:textId="65393310" w:rsidR="009E35E4" w:rsidRDefault="009E35E4" w:rsidP="009E35E4">
      <w:r>
        <w:t>Any information (including, without limitation, reports) provided by TGHL to Members under this Agreement is provided at TGHL’s sole discretion and is provided “as is” without representation or warranty of any kind, either express or implied, regarding</w:t>
      </w:r>
      <w:r w:rsidR="004C7FBC" w:rsidRPr="004C7FBC">
        <w:t>, without limitation,</w:t>
      </w:r>
      <w:r>
        <w:t xml:space="preserve"> the completeness, accuracy, quality of information, or fitness for purpose. Members are solely responsible for monitoring and ensuring compliance with their Liquidity Provision Obligations and should not rely on information provided by TGHL. In no event shall TGHL be liable for any losses, damages, claims or expenses incurred or actions undertaken by a Member as a result of this Agreement, including without limitation, its receipt of information or its use thereof under this Agreement.</w:t>
      </w:r>
    </w:p>
    <w:p w14:paraId="5253E9FB" w14:textId="6FF9DD8C" w:rsidR="004C35F8" w:rsidRDefault="009E35E4" w:rsidP="009E35E4">
      <w:r>
        <w:t>These terms together with the schedules shall constitute the “Agreement”. Participating in a Liquidity Provision Scheme could have consequences for a Member’s regulatory status. Members are advised to seek independent advice before entering the agreement.</w:t>
      </w:r>
    </w:p>
    <w:p w14:paraId="57D5E889" w14:textId="516D72A7" w:rsidR="008A0D50" w:rsidRDefault="008A0D50" w:rsidP="003832DB">
      <w:pPr>
        <w:pStyle w:val="Heading1"/>
        <w:pageBreakBefore/>
        <w:ind w:left="432" w:hanging="432"/>
      </w:pPr>
      <w:r>
        <w:lastRenderedPageBreak/>
        <w:t>2.0</w:t>
      </w:r>
      <w:r>
        <w:tab/>
        <w:t>Liquidity Provider Obligations</w:t>
      </w:r>
    </w:p>
    <w:p w14:paraId="4446B67F" w14:textId="79597E83" w:rsidR="008A0D50" w:rsidRDefault="008A0D50" w:rsidP="003832DB">
      <w:pPr>
        <w:pStyle w:val="Heading2"/>
        <w:ind w:left="432" w:hanging="432"/>
      </w:pPr>
      <w:r>
        <w:t>1.</w:t>
      </w:r>
      <w:r w:rsidR="003832DB">
        <w:tab/>
      </w:r>
      <w:r>
        <w:t xml:space="preserve">General </w:t>
      </w:r>
      <w:r w:rsidRPr="003832DB">
        <w:t>Liquidity</w:t>
      </w:r>
      <w:r>
        <w:t xml:space="preserve"> Provider Obligations</w:t>
      </w:r>
    </w:p>
    <w:p w14:paraId="1B532C2D" w14:textId="77777777" w:rsidR="00B779F9" w:rsidRDefault="00B779F9" w:rsidP="00B779F9">
      <w:r>
        <w:t>Under this Agreement a Member may elect to deal in a number of securities as a Liquidity Provider and the Liquidity Provider Obligations that are applicable to each relevant security are set out in the schedules to this Agreement.</w:t>
      </w:r>
    </w:p>
    <w:p w14:paraId="60D278B0" w14:textId="12D5C197" w:rsidR="00B779F9" w:rsidRDefault="00B779F9" w:rsidP="00B779F9">
      <w:r>
        <w:t>The LP shall indicate</w:t>
      </w:r>
      <w:r w:rsidR="004C7FBC">
        <w:t>,</w:t>
      </w:r>
      <w:r>
        <w:t xml:space="preserve"> in the relevant schedules to this Agreement</w:t>
      </w:r>
      <w:r w:rsidR="004C7FBC">
        <w:t>,</w:t>
      </w:r>
      <w:r>
        <w:t xml:space="preserve"> </w:t>
      </w:r>
      <w:r w:rsidR="004C7FBC" w:rsidRPr="004C7FBC">
        <w:t>in which</w:t>
      </w:r>
      <w:r>
        <w:t xml:space="preserve"> Liquidity Schemes it wishes to participate and within each Scheme, the securities for which it wishes to register as a LP.</w:t>
      </w:r>
    </w:p>
    <w:p w14:paraId="32EA4E86" w14:textId="056CD693" w:rsidR="008A0D50" w:rsidRDefault="00B779F9" w:rsidP="00B779F9">
      <w:r>
        <w:t>A LP registering a security under a particular Scheme must maintain executable quotes in that security within the presence time, pricing and executable size obligations applicable to that security and Scheme, as set out below and in the relevant schedules to this Agreement.</w:t>
      </w:r>
    </w:p>
    <w:p w14:paraId="61D33E86" w14:textId="77417EBF" w:rsidR="008A0D50" w:rsidRDefault="008A0D50" w:rsidP="003832DB">
      <w:pPr>
        <w:pStyle w:val="Heading2"/>
        <w:ind w:left="432" w:hanging="432"/>
      </w:pPr>
      <w:r>
        <w:t>2.</w:t>
      </w:r>
      <w:r w:rsidR="00903D65">
        <w:tab/>
      </w:r>
      <w:r>
        <w:t>Required Presence Time</w:t>
      </w:r>
    </w:p>
    <w:p w14:paraId="00127E57" w14:textId="0785AFD2" w:rsidR="008A0D50" w:rsidRDefault="00B779F9" w:rsidP="008A0D50">
      <w:r w:rsidRPr="00B779F9">
        <w:t>The required presence time applicable to each Scheme is set out in the relevant schedules to this Agreement.</w:t>
      </w:r>
    </w:p>
    <w:p w14:paraId="6085730B" w14:textId="240C3217" w:rsidR="008A0D50" w:rsidRDefault="008A0D50" w:rsidP="003832DB">
      <w:pPr>
        <w:pStyle w:val="Heading2"/>
        <w:ind w:left="432" w:hanging="432"/>
      </w:pPr>
      <w:r>
        <w:t>3.</w:t>
      </w:r>
      <w:r w:rsidR="00903D65">
        <w:tab/>
      </w:r>
      <w:r>
        <w:t>Pricing and Executable Size Obligations</w:t>
      </w:r>
    </w:p>
    <w:p w14:paraId="7A9B69FA" w14:textId="64D094B4" w:rsidR="008A0D50" w:rsidRDefault="00B779F9" w:rsidP="008A0D50">
      <w:r w:rsidRPr="00B779F9">
        <w:t>The pricing and executable size obligations are defined in the schedules to this Agreement.</w:t>
      </w:r>
    </w:p>
    <w:p w14:paraId="3DD9D81E" w14:textId="4C7C5756" w:rsidR="00B779F9" w:rsidRDefault="00B779F9" w:rsidP="003832DB">
      <w:pPr>
        <w:pStyle w:val="Heading2"/>
        <w:ind w:left="432" w:hanging="432"/>
      </w:pPr>
      <w:r>
        <w:t>4.</w:t>
      </w:r>
      <w:r>
        <w:tab/>
        <w:t>Value Traded Obligations</w:t>
      </w:r>
    </w:p>
    <w:p w14:paraId="32096D4D" w14:textId="6944D83A" w:rsidR="00B779F9" w:rsidRDefault="00B779F9" w:rsidP="00B779F9">
      <w:r>
        <w:t>The value traded obligations are defined in the relevant schedules to this Agreement.</w:t>
      </w:r>
    </w:p>
    <w:p w14:paraId="373D8266" w14:textId="3AD2949A" w:rsidR="008A0D50" w:rsidRDefault="00A14530" w:rsidP="003832DB">
      <w:pPr>
        <w:pStyle w:val="Heading2"/>
        <w:ind w:left="432" w:hanging="432"/>
      </w:pPr>
      <w:r>
        <w:t>5</w:t>
      </w:r>
      <w:r w:rsidR="008A0D50">
        <w:t>.</w:t>
      </w:r>
      <w:r w:rsidR="00903D65">
        <w:tab/>
      </w:r>
      <w:r w:rsidR="008A0D50">
        <w:t>Registration</w:t>
      </w:r>
    </w:p>
    <w:p w14:paraId="0A831666" w14:textId="77777777" w:rsidR="00A14530" w:rsidRDefault="008A0D50" w:rsidP="00A14530">
      <w:r>
        <w:t xml:space="preserve">A </w:t>
      </w:r>
      <w:r w:rsidR="00A14530">
        <w:t>Member intending to act in the capacity of a LP must adhere to this Agreement by signing and returning a duly completed Agreement together with completed schedules.</w:t>
      </w:r>
    </w:p>
    <w:p w14:paraId="0BC815E4" w14:textId="77777777" w:rsidR="00A14530" w:rsidRDefault="00A14530" w:rsidP="00A14530">
      <w:r>
        <w:t>TGHL reserves the right, at its sole discretion, to refuse an application or accept it for only some of the requested Scheme’s securities.</w:t>
      </w:r>
    </w:p>
    <w:p w14:paraId="3CAA4FFE" w14:textId="5042B4A5" w:rsidR="00A14530" w:rsidRDefault="00A14530" w:rsidP="003832DB">
      <w:pPr>
        <w:pStyle w:val="Heading2"/>
        <w:ind w:left="432" w:hanging="432"/>
      </w:pPr>
      <w:r w:rsidRPr="00A14530">
        <w:t>6.</w:t>
      </w:r>
      <w:r w:rsidR="00953A57">
        <w:tab/>
      </w:r>
      <w:r w:rsidRPr="00A14530">
        <w:t>Minimum Term</w:t>
      </w:r>
    </w:p>
    <w:p w14:paraId="2EBCDFEB" w14:textId="77777777" w:rsidR="00953A57" w:rsidRDefault="00953A57" w:rsidP="00953A57">
      <w:r>
        <w:t>The LP commits for a minimum term of 30 calendar days in any Scheme and/or security for which it registers.</w:t>
      </w:r>
    </w:p>
    <w:p w14:paraId="1EE6FF15" w14:textId="2D707501" w:rsidR="00953A57" w:rsidRDefault="00953A57" w:rsidP="00953A57">
      <w:r>
        <w:t>Subject to this minimum term, should a Member wish to cease to act as a LP or deregister from a Scheme, it must inform TGHL in writing immediately.</w:t>
      </w:r>
    </w:p>
    <w:p w14:paraId="2A18EC2B" w14:textId="5BE8A41B" w:rsidR="00953A57" w:rsidRDefault="00953A57" w:rsidP="00953A57">
      <w:r>
        <w:t>In exceptional circumstances, a firm may request from TGHL a temporary withdrawal from its Liquidity Provider Obligations and TGHL may consent to such request at its sole discretion.</w:t>
      </w:r>
    </w:p>
    <w:p w14:paraId="4D5BEA9E" w14:textId="704B2BC3" w:rsidR="00953A57" w:rsidRDefault="00953A57" w:rsidP="003832DB">
      <w:pPr>
        <w:pStyle w:val="Heading2"/>
        <w:ind w:left="432" w:hanging="432"/>
      </w:pPr>
      <w:r>
        <w:t>7.</w:t>
      </w:r>
      <w:r>
        <w:tab/>
        <w:t>Failure to comply with the Liquidity Provider Obligations</w:t>
      </w:r>
    </w:p>
    <w:p w14:paraId="5A449EBE" w14:textId="77777777" w:rsidR="00953A57" w:rsidRDefault="00953A57" w:rsidP="00953A57">
      <w:r>
        <w:t>If a Member has not registered for securities applicable to any of the Liquidity Provider Schemes in which it has registered within 30 days of signing this Agreement, TGHL, without liability, reserves the right to terminate this Agreement and deregister the Member from the relevant Liquidity Provider Schemes.</w:t>
      </w:r>
    </w:p>
    <w:p w14:paraId="158AB5B8" w14:textId="77777777" w:rsidR="00953A57" w:rsidRDefault="00953A57" w:rsidP="00953A57">
      <w:r>
        <w:t>If the Member fails to comply with the Liquidity Provider Obligations, TGHL will contact the firm and request an explanation. In this event, the LP will be considered on probation for the next 30 days.</w:t>
      </w:r>
    </w:p>
    <w:p w14:paraId="06EC777A" w14:textId="50907BFC" w:rsidR="00953A57" w:rsidRDefault="00953A57" w:rsidP="00953A57">
      <w:r>
        <w:t>If TGHL has reasonable grounds to believe that the Member cannot comply with the Liquidity Provision Obligations in a consistent manner going forward, TGHL, without liability, has the right to deregister a Member as a LP for some or all of the Schemes and/or securities for which it is registered.</w:t>
      </w:r>
    </w:p>
    <w:p w14:paraId="09370692" w14:textId="1A1D259D" w:rsidR="008A0D50" w:rsidRDefault="008A0D50" w:rsidP="003832DB">
      <w:pPr>
        <w:pStyle w:val="Heading1"/>
        <w:pageBreakBefore/>
        <w:ind w:left="432" w:hanging="432"/>
      </w:pPr>
      <w:r>
        <w:lastRenderedPageBreak/>
        <w:t>3.0</w:t>
      </w:r>
      <w:r w:rsidR="00903D65">
        <w:tab/>
      </w:r>
      <w:r>
        <w:t>Becoming a Liquidity Provider</w:t>
      </w:r>
    </w:p>
    <w:p w14:paraId="1F03D7CC" w14:textId="306E7487" w:rsidR="008A0D50" w:rsidRDefault="00812001" w:rsidP="008A0D50">
      <w:r w:rsidRPr="00812001">
        <w:t>This Agreement and the relevant schedules should be completed by Members seeking to be registered as a LP on the markets operated by Turquoise Global Holdings Limited and returned by post or email to:</w:t>
      </w:r>
    </w:p>
    <w:p w14:paraId="0CAC21D8" w14:textId="4733F95A" w:rsidR="008A0D50" w:rsidRPr="0049411C" w:rsidRDefault="008A0D50" w:rsidP="008A0D50">
      <w:pPr>
        <w:rPr>
          <w:b/>
          <w:bCs/>
        </w:rPr>
      </w:pPr>
      <w:r w:rsidRPr="0049411C">
        <w:rPr>
          <w:b/>
          <w:bCs/>
        </w:rPr>
        <w:t>Turquoise</w:t>
      </w:r>
      <w:r w:rsidR="0049411C">
        <w:rPr>
          <w:b/>
          <w:bCs/>
        </w:rPr>
        <w:br/>
      </w:r>
      <w:r w:rsidRPr="0049411C">
        <w:rPr>
          <w:b/>
          <w:bCs/>
        </w:rPr>
        <w:t>10 Paternoster Square</w:t>
      </w:r>
      <w:r w:rsidR="0049411C">
        <w:rPr>
          <w:b/>
          <w:bCs/>
        </w:rPr>
        <w:br/>
      </w:r>
      <w:r w:rsidRPr="0049411C">
        <w:rPr>
          <w:b/>
          <w:bCs/>
        </w:rPr>
        <w:t>London EC4M 7LS</w:t>
      </w:r>
    </w:p>
    <w:p w14:paraId="429B0521" w14:textId="77777777" w:rsidR="008A0D50" w:rsidRDefault="008A0D50" w:rsidP="008A0D50">
      <w:r>
        <w:t>or</w:t>
      </w:r>
    </w:p>
    <w:p w14:paraId="5020A807" w14:textId="1CDDC1FA" w:rsidR="008A0D50" w:rsidRPr="0049411C" w:rsidRDefault="000E5E2A" w:rsidP="008A0D50">
      <w:pPr>
        <w:rPr>
          <w:b/>
          <w:bCs/>
        </w:rPr>
      </w:pPr>
      <w:hyperlink r:id="rId8" w:history="1">
        <w:r w:rsidR="0049411C" w:rsidRPr="0049411C">
          <w:rPr>
            <w:rStyle w:val="Hyperlink"/>
            <w:b/>
            <w:bCs/>
          </w:rPr>
          <w:t>sales@tradeturquoise.com</w:t>
        </w:r>
      </w:hyperlink>
    </w:p>
    <w:p w14:paraId="0FDAFF65" w14:textId="2B3180F5" w:rsidR="008A0D50" w:rsidRDefault="00812001" w:rsidP="008A0D50">
      <w:r w:rsidRPr="00812001">
        <w:t xml:space="preserve">If you have any queries in relation to this Agreement or any of the Liquidity Provider Schemes, please contact the Client Relationship Team on +44 (0)20 7382 7650 or </w:t>
      </w:r>
      <w:hyperlink r:id="rId9" w:history="1">
        <w:r w:rsidRPr="008C1752">
          <w:rPr>
            <w:rStyle w:val="Hyperlink"/>
          </w:rPr>
          <w:t>sales@tradeturquoise.com</w:t>
        </w:r>
      </w:hyperlink>
      <w:r w:rsidRPr="00812001">
        <w:t>.</w:t>
      </w:r>
    </w:p>
    <w:p w14:paraId="47B4C88C" w14:textId="0F2BDF21" w:rsidR="00580F9A" w:rsidRDefault="00812001" w:rsidP="008A0D50">
      <w:r w:rsidRPr="00812001">
        <w:t>Any correspondence or notices required to be sent to TGHL under this Agreement should be sent to the above address.</w:t>
      </w:r>
    </w:p>
    <w:p w14:paraId="3A2D95B2" w14:textId="03DF3964" w:rsidR="00D256AF" w:rsidRDefault="00D256AF" w:rsidP="002929CE">
      <w:pPr>
        <w:pStyle w:val="Heading1"/>
        <w:spacing w:before="400"/>
        <w:ind w:left="432" w:hanging="432"/>
      </w:pPr>
      <w:r>
        <w:t>4.0</w:t>
      </w:r>
      <w:r w:rsidR="00047B1B">
        <w:tab/>
      </w:r>
      <w:r>
        <w:t>Member Details</w:t>
      </w:r>
    </w:p>
    <w:p w14:paraId="797705B4" w14:textId="5BEF8FE2" w:rsidR="00580F9A" w:rsidRDefault="00812001" w:rsidP="00D256AF">
      <w:r w:rsidRPr="00812001">
        <w:t>Please note that by signing and returning this form you agree to be bound by the terms of this Liquidity Provider Agreement.</w:t>
      </w:r>
    </w:p>
    <w:tbl>
      <w:tblPr>
        <w:tblStyle w:val="LSEtablestyle"/>
        <w:tblW w:w="5000" w:type="pct"/>
        <w:tblLook w:val="04A0" w:firstRow="1" w:lastRow="0" w:firstColumn="1" w:lastColumn="0" w:noHBand="0" w:noVBand="1"/>
      </w:tblPr>
      <w:tblGrid>
        <w:gridCol w:w="2430"/>
        <w:gridCol w:w="8342"/>
      </w:tblGrid>
      <w:tr w:rsidR="004D39F4" w:rsidRPr="00201A40" w14:paraId="09A0329C" w14:textId="77777777" w:rsidTr="003832DB">
        <w:trPr>
          <w:cnfStyle w:val="100000000000" w:firstRow="1" w:lastRow="0" w:firstColumn="0" w:lastColumn="0" w:oddVBand="0" w:evenVBand="0" w:oddHBand="0" w:evenHBand="0" w:firstRowFirstColumn="0" w:firstRowLastColumn="0" w:lastRowFirstColumn="0" w:lastRowLastColumn="0"/>
          <w:trHeight w:val="20"/>
        </w:trPr>
        <w:tc>
          <w:tcPr>
            <w:tcW w:w="5000" w:type="pct"/>
            <w:gridSpan w:val="2"/>
            <w:tcBorders>
              <w:top w:val="single" w:sz="4" w:space="0" w:color="000000" w:themeColor="text1"/>
            </w:tcBorders>
            <w:shd w:val="clear" w:color="auto" w:fill="auto"/>
          </w:tcPr>
          <w:p w14:paraId="575C43C1" w14:textId="77777777" w:rsidR="00B6645B" w:rsidRPr="00201A40" w:rsidRDefault="00B6645B" w:rsidP="00B6645B">
            <w:pPr>
              <w:pStyle w:val="TableofFigures"/>
              <w:rPr>
                <w:color w:val="auto"/>
              </w:rPr>
            </w:pPr>
            <w:r w:rsidRPr="00201A40">
              <w:rPr>
                <w:color w:val="auto"/>
              </w:rPr>
              <w:t>Name of Legal Entity applying to become a Liquidity Provider:</w:t>
            </w:r>
          </w:p>
        </w:tc>
      </w:tr>
      <w:tr w:rsidR="00201A40" w:rsidRPr="00B6645B" w14:paraId="39265ABA" w14:textId="77777777" w:rsidTr="00201A40">
        <w:trPr>
          <w:cnfStyle w:val="000000100000" w:firstRow="0" w:lastRow="0" w:firstColumn="0" w:lastColumn="0" w:oddVBand="0" w:evenVBand="0" w:oddHBand="1" w:evenHBand="0" w:firstRowFirstColumn="0" w:firstRowLastColumn="0" w:lastRowFirstColumn="0" w:lastRowLastColumn="0"/>
          <w:trHeight w:val="20"/>
        </w:trPr>
        <w:tc>
          <w:tcPr>
            <w:tcW w:w="1128" w:type="pct"/>
          </w:tcPr>
          <w:p w14:paraId="0605B501" w14:textId="77777777" w:rsidR="00201A40" w:rsidRPr="00201A40" w:rsidRDefault="00201A40" w:rsidP="00B6645B">
            <w:pPr>
              <w:pStyle w:val="TableofFigures"/>
              <w:rPr>
                <w:b/>
                <w:bCs/>
              </w:rPr>
            </w:pPr>
            <w:r w:rsidRPr="00201A40">
              <w:rPr>
                <w:b/>
                <w:bCs/>
              </w:rPr>
              <w:t>Registered Address:</w:t>
            </w:r>
          </w:p>
        </w:tc>
        <w:tc>
          <w:tcPr>
            <w:tcW w:w="3872" w:type="pct"/>
          </w:tcPr>
          <w:p w14:paraId="5BC53F9D" w14:textId="7348E54B" w:rsidR="00201A40" w:rsidRPr="00201A40" w:rsidRDefault="00767623" w:rsidP="00B6645B">
            <w:pPr>
              <w:pStyle w:val="TableofFigures"/>
            </w:pPr>
            <w:r w:rsidRPr="00E84264">
              <w:rPr>
                <w:bCs/>
                <w:spacing w:val="-2"/>
                <w:szCs w:val="16"/>
              </w:rPr>
              <w:fldChar w:fldCharType="begin">
                <w:ffData>
                  <w:name w:val="Text1"/>
                  <w:enabled/>
                  <w:calcOnExit w:val="0"/>
                  <w:textInput/>
                </w:ffData>
              </w:fldChar>
            </w:r>
            <w:bookmarkStart w:id="0" w:name="Text1"/>
            <w:r w:rsidRPr="00E84264">
              <w:rPr>
                <w:bCs/>
                <w:spacing w:val="-2"/>
                <w:szCs w:val="16"/>
              </w:rPr>
              <w:instrText xml:space="preserve"> FORMTEXT </w:instrText>
            </w:r>
            <w:r w:rsidRPr="00E84264">
              <w:rPr>
                <w:bCs/>
                <w:spacing w:val="-2"/>
                <w:szCs w:val="16"/>
              </w:rPr>
            </w:r>
            <w:r w:rsidRPr="00E84264">
              <w:rPr>
                <w:bCs/>
                <w:spacing w:val="-2"/>
                <w:szCs w:val="16"/>
              </w:rPr>
              <w:fldChar w:fldCharType="separate"/>
            </w:r>
            <w:r w:rsidRPr="00E84264">
              <w:rPr>
                <w:bCs/>
                <w:noProof/>
                <w:spacing w:val="-2"/>
                <w:szCs w:val="16"/>
              </w:rPr>
              <w:t> </w:t>
            </w:r>
            <w:r w:rsidRPr="00E84264">
              <w:rPr>
                <w:bCs/>
                <w:noProof/>
                <w:spacing w:val="-2"/>
                <w:szCs w:val="16"/>
              </w:rPr>
              <w:t> </w:t>
            </w:r>
            <w:r w:rsidRPr="00E84264">
              <w:rPr>
                <w:bCs/>
                <w:noProof/>
                <w:spacing w:val="-2"/>
                <w:szCs w:val="16"/>
              </w:rPr>
              <w:t> </w:t>
            </w:r>
            <w:r w:rsidRPr="00E84264">
              <w:rPr>
                <w:bCs/>
                <w:noProof/>
                <w:spacing w:val="-2"/>
                <w:szCs w:val="16"/>
              </w:rPr>
              <w:t> </w:t>
            </w:r>
            <w:r w:rsidRPr="00E84264">
              <w:rPr>
                <w:bCs/>
                <w:noProof/>
                <w:spacing w:val="-2"/>
                <w:szCs w:val="16"/>
              </w:rPr>
              <w:t> </w:t>
            </w:r>
            <w:r w:rsidRPr="00E84264">
              <w:rPr>
                <w:bCs/>
                <w:spacing w:val="-2"/>
                <w:szCs w:val="16"/>
              </w:rPr>
              <w:fldChar w:fldCharType="end"/>
            </w:r>
            <w:bookmarkEnd w:id="0"/>
          </w:p>
        </w:tc>
      </w:tr>
    </w:tbl>
    <w:p w14:paraId="5EF40447" w14:textId="5FE8B368" w:rsidR="00580F9A" w:rsidRDefault="00580F9A" w:rsidP="00580F9A"/>
    <w:tbl>
      <w:tblPr>
        <w:tblStyle w:val="LSEtablestyle"/>
        <w:tblW w:w="5000" w:type="pct"/>
        <w:tblBorders>
          <w:bottom w:val="none" w:sz="0" w:space="0" w:color="auto"/>
          <w:insideH w:val="none" w:sz="0" w:space="0" w:color="auto"/>
        </w:tblBorders>
        <w:tblCellMar>
          <w:left w:w="0" w:type="dxa"/>
          <w:right w:w="0" w:type="dxa"/>
        </w:tblCellMar>
        <w:tblLook w:val="04A0" w:firstRow="1" w:lastRow="0" w:firstColumn="1" w:lastColumn="0" w:noHBand="0" w:noVBand="1"/>
      </w:tblPr>
      <w:tblGrid>
        <w:gridCol w:w="5386"/>
        <w:gridCol w:w="5386"/>
      </w:tblGrid>
      <w:tr w:rsidR="00C03A5B" w:rsidRPr="00F97BF3" w14:paraId="16BA5519" w14:textId="77777777" w:rsidTr="009C0BEA">
        <w:trPr>
          <w:cnfStyle w:val="100000000000" w:firstRow="1" w:lastRow="0" w:firstColumn="0" w:lastColumn="0" w:oddVBand="0" w:evenVBand="0" w:oddHBand="0" w:evenHBand="0" w:firstRowFirstColumn="0" w:firstRowLastColumn="0" w:lastRowFirstColumn="0" w:lastRowLastColumn="0"/>
          <w:trHeight w:val="20"/>
        </w:trPr>
        <w:tc>
          <w:tcPr>
            <w:tcW w:w="2500" w:type="pct"/>
            <w:tcBorders>
              <w:bottom w:val="none" w:sz="0" w:space="0" w:color="auto"/>
              <w:right w:val="none" w:sz="0" w:space="0" w:color="auto"/>
            </w:tcBorders>
            <w:shd w:val="clear" w:color="auto" w:fill="auto"/>
          </w:tcPr>
          <w:p w14:paraId="3BB41138" w14:textId="77777777" w:rsidR="00C03A5B" w:rsidRPr="001201D1" w:rsidRDefault="00C03A5B" w:rsidP="00582417">
            <w:pPr>
              <w:pStyle w:val="TableofFigures"/>
              <w:spacing w:after="120"/>
              <w:rPr>
                <w:sz w:val="18"/>
                <w:szCs w:val="18"/>
              </w:rPr>
            </w:pPr>
            <w:r w:rsidRPr="001201D1">
              <w:rPr>
                <w:sz w:val="18"/>
                <w:szCs w:val="18"/>
              </w:rPr>
              <w:t>Signed on behalf of the Member</w:t>
            </w:r>
          </w:p>
        </w:tc>
        <w:tc>
          <w:tcPr>
            <w:tcW w:w="2500" w:type="pct"/>
            <w:tcBorders>
              <w:left w:val="none" w:sz="0" w:space="0" w:color="auto"/>
              <w:bottom w:val="none" w:sz="0" w:space="0" w:color="auto"/>
            </w:tcBorders>
            <w:shd w:val="clear" w:color="auto" w:fill="auto"/>
          </w:tcPr>
          <w:p w14:paraId="06055C80" w14:textId="77777777" w:rsidR="00C03A5B" w:rsidRPr="001201D1" w:rsidRDefault="00C03A5B" w:rsidP="00582417">
            <w:pPr>
              <w:pStyle w:val="TableofFigures"/>
              <w:spacing w:after="120"/>
              <w:rPr>
                <w:sz w:val="18"/>
                <w:szCs w:val="18"/>
              </w:rPr>
            </w:pPr>
            <w:r w:rsidRPr="001201D1">
              <w:rPr>
                <w:sz w:val="18"/>
                <w:szCs w:val="18"/>
              </w:rPr>
              <w:t>Signed on behalf of Turquoise Global Holdings Limited</w:t>
            </w:r>
          </w:p>
        </w:tc>
      </w:tr>
      <w:tr w:rsidR="00884208" w:rsidRPr="00F97BF3" w14:paraId="27B9EF54" w14:textId="77777777" w:rsidTr="009C0BEA">
        <w:trPr>
          <w:cnfStyle w:val="000000100000" w:firstRow="0" w:lastRow="0" w:firstColumn="0" w:lastColumn="0" w:oddVBand="0" w:evenVBand="0" w:oddHBand="1" w:evenHBand="0" w:firstRowFirstColumn="0" w:firstRowLastColumn="0" w:lastRowFirstColumn="0" w:lastRowLastColumn="0"/>
          <w:trHeight w:val="20"/>
        </w:trPr>
        <w:tc>
          <w:tcPr>
            <w:tcW w:w="2500" w:type="pct"/>
            <w:tcBorders>
              <w:right w:val="none" w:sz="0" w:space="0" w:color="auto"/>
            </w:tcBorders>
          </w:tcPr>
          <w:p w14:paraId="1719E49C" w14:textId="77777777" w:rsidR="00884208" w:rsidRPr="001201D1" w:rsidRDefault="00884208" w:rsidP="00582417">
            <w:pPr>
              <w:pStyle w:val="TableofFigures"/>
              <w:tabs>
                <w:tab w:val="left" w:pos="4754"/>
              </w:tabs>
              <w:spacing w:after="120"/>
              <w:rPr>
                <w:bCs/>
                <w:sz w:val="18"/>
                <w:szCs w:val="18"/>
              </w:rPr>
            </w:pPr>
            <w:r w:rsidRPr="001201D1">
              <w:rPr>
                <w:bCs/>
                <w:sz w:val="18"/>
                <w:szCs w:val="18"/>
              </w:rPr>
              <w:t xml:space="preserve">By: </w:t>
            </w:r>
            <w:r w:rsidRPr="001201D1">
              <w:rPr>
                <w:bCs/>
                <w:sz w:val="18"/>
                <w:szCs w:val="18"/>
                <w:u w:val="single"/>
              </w:rPr>
              <w:tab/>
            </w:r>
          </w:p>
        </w:tc>
        <w:tc>
          <w:tcPr>
            <w:tcW w:w="2500" w:type="pct"/>
            <w:tcBorders>
              <w:left w:val="none" w:sz="0" w:space="0" w:color="auto"/>
            </w:tcBorders>
          </w:tcPr>
          <w:p w14:paraId="41A3106D" w14:textId="6A540FC3" w:rsidR="00884208" w:rsidRPr="001201D1" w:rsidRDefault="00884208" w:rsidP="00582417">
            <w:pPr>
              <w:pStyle w:val="TableofFigures"/>
              <w:tabs>
                <w:tab w:val="left" w:pos="4754"/>
              </w:tabs>
              <w:spacing w:after="120"/>
              <w:rPr>
                <w:bCs/>
                <w:sz w:val="18"/>
                <w:szCs w:val="18"/>
              </w:rPr>
            </w:pPr>
            <w:r w:rsidRPr="001201D1">
              <w:rPr>
                <w:bCs/>
                <w:sz w:val="18"/>
                <w:szCs w:val="18"/>
              </w:rPr>
              <w:t xml:space="preserve">By: </w:t>
            </w:r>
            <w:r w:rsidRPr="001201D1">
              <w:rPr>
                <w:bCs/>
                <w:sz w:val="18"/>
                <w:szCs w:val="18"/>
                <w:u w:val="single"/>
              </w:rPr>
              <w:tab/>
            </w:r>
          </w:p>
        </w:tc>
      </w:tr>
      <w:tr w:rsidR="00884208" w:rsidRPr="00F97BF3" w14:paraId="278ADE9E" w14:textId="77777777" w:rsidTr="009C0BEA">
        <w:trPr>
          <w:cnfStyle w:val="000000010000" w:firstRow="0" w:lastRow="0" w:firstColumn="0" w:lastColumn="0" w:oddVBand="0" w:evenVBand="0" w:oddHBand="0" w:evenHBand="1" w:firstRowFirstColumn="0" w:firstRowLastColumn="0" w:lastRowFirstColumn="0" w:lastRowLastColumn="0"/>
          <w:trHeight w:val="20"/>
        </w:trPr>
        <w:tc>
          <w:tcPr>
            <w:tcW w:w="2500" w:type="pct"/>
            <w:tcBorders>
              <w:right w:val="none" w:sz="0" w:space="0" w:color="auto"/>
            </w:tcBorders>
          </w:tcPr>
          <w:p w14:paraId="1171112B" w14:textId="77777777" w:rsidR="00884208" w:rsidRPr="001201D1" w:rsidRDefault="00884208" w:rsidP="00582417">
            <w:pPr>
              <w:pStyle w:val="TableofFigures"/>
              <w:tabs>
                <w:tab w:val="left" w:pos="4754"/>
              </w:tabs>
              <w:spacing w:after="120"/>
              <w:rPr>
                <w:bCs/>
                <w:sz w:val="18"/>
                <w:szCs w:val="18"/>
              </w:rPr>
            </w:pPr>
            <w:r w:rsidRPr="001201D1">
              <w:rPr>
                <w:bCs/>
                <w:sz w:val="18"/>
                <w:szCs w:val="18"/>
              </w:rPr>
              <w:t xml:space="preserve">Title: </w:t>
            </w:r>
            <w:r w:rsidRPr="001201D1">
              <w:rPr>
                <w:bCs/>
                <w:sz w:val="18"/>
                <w:szCs w:val="18"/>
                <w:u w:val="single"/>
              </w:rPr>
              <w:tab/>
            </w:r>
          </w:p>
        </w:tc>
        <w:tc>
          <w:tcPr>
            <w:tcW w:w="2500" w:type="pct"/>
            <w:tcBorders>
              <w:left w:val="none" w:sz="0" w:space="0" w:color="auto"/>
            </w:tcBorders>
          </w:tcPr>
          <w:p w14:paraId="2DC63278" w14:textId="75C0A3C6" w:rsidR="00884208" w:rsidRPr="001201D1" w:rsidRDefault="00884208" w:rsidP="00582417">
            <w:pPr>
              <w:pStyle w:val="TableofFigures"/>
              <w:tabs>
                <w:tab w:val="left" w:pos="4754"/>
              </w:tabs>
              <w:spacing w:after="120"/>
              <w:rPr>
                <w:bCs/>
                <w:sz w:val="18"/>
                <w:szCs w:val="18"/>
              </w:rPr>
            </w:pPr>
            <w:r w:rsidRPr="001201D1">
              <w:rPr>
                <w:bCs/>
                <w:sz w:val="18"/>
                <w:szCs w:val="18"/>
              </w:rPr>
              <w:t xml:space="preserve">Title: </w:t>
            </w:r>
            <w:r w:rsidRPr="001201D1">
              <w:rPr>
                <w:bCs/>
                <w:sz w:val="18"/>
                <w:szCs w:val="18"/>
                <w:u w:val="single"/>
              </w:rPr>
              <w:tab/>
            </w:r>
          </w:p>
        </w:tc>
      </w:tr>
      <w:tr w:rsidR="00884208" w:rsidRPr="00F97BF3" w14:paraId="5CE28789" w14:textId="77777777" w:rsidTr="009C0BEA">
        <w:trPr>
          <w:cnfStyle w:val="000000100000" w:firstRow="0" w:lastRow="0" w:firstColumn="0" w:lastColumn="0" w:oddVBand="0" w:evenVBand="0" w:oddHBand="1" w:evenHBand="0" w:firstRowFirstColumn="0" w:firstRowLastColumn="0" w:lastRowFirstColumn="0" w:lastRowLastColumn="0"/>
          <w:trHeight w:val="20"/>
        </w:trPr>
        <w:tc>
          <w:tcPr>
            <w:tcW w:w="2500" w:type="pct"/>
            <w:tcBorders>
              <w:right w:val="none" w:sz="0" w:space="0" w:color="auto"/>
            </w:tcBorders>
          </w:tcPr>
          <w:p w14:paraId="0BC405B4" w14:textId="77777777" w:rsidR="00884208" w:rsidRPr="001201D1" w:rsidRDefault="00884208" w:rsidP="00582417">
            <w:pPr>
              <w:pStyle w:val="TableofFigures"/>
              <w:tabs>
                <w:tab w:val="left" w:pos="4754"/>
              </w:tabs>
              <w:spacing w:after="120"/>
              <w:rPr>
                <w:bCs/>
                <w:sz w:val="18"/>
                <w:szCs w:val="18"/>
              </w:rPr>
            </w:pPr>
            <w:r w:rsidRPr="001201D1">
              <w:rPr>
                <w:bCs/>
                <w:sz w:val="18"/>
                <w:szCs w:val="18"/>
              </w:rPr>
              <w:t xml:space="preserve">Date: </w:t>
            </w:r>
            <w:r w:rsidRPr="001201D1">
              <w:rPr>
                <w:bCs/>
                <w:sz w:val="18"/>
                <w:szCs w:val="18"/>
                <w:u w:val="single"/>
              </w:rPr>
              <w:tab/>
            </w:r>
          </w:p>
        </w:tc>
        <w:tc>
          <w:tcPr>
            <w:tcW w:w="2500" w:type="pct"/>
            <w:tcBorders>
              <w:left w:val="none" w:sz="0" w:space="0" w:color="auto"/>
            </w:tcBorders>
          </w:tcPr>
          <w:p w14:paraId="23A3C5A8" w14:textId="1866A477" w:rsidR="00884208" w:rsidRPr="001201D1" w:rsidRDefault="00884208" w:rsidP="00582417">
            <w:pPr>
              <w:pStyle w:val="TableofFigures"/>
              <w:tabs>
                <w:tab w:val="left" w:pos="4754"/>
              </w:tabs>
              <w:spacing w:after="120"/>
              <w:rPr>
                <w:bCs/>
                <w:sz w:val="18"/>
                <w:szCs w:val="18"/>
              </w:rPr>
            </w:pPr>
            <w:r w:rsidRPr="001201D1">
              <w:rPr>
                <w:bCs/>
                <w:sz w:val="18"/>
                <w:szCs w:val="18"/>
              </w:rPr>
              <w:t xml:space="preserve">Date: </w:t>
            </w:r>
            <w:r w:rsidRPr="001201D1">
              <w:rPr>
                <w:bCs/>
                <w:sz w:val="18"/>
                <w:szCs w:val="18"/>
                <w:u w:val="single"/>
              </w:rPr>
              <w:tab/>
            </w:r>
          </w:p>
        </w:tc>
      </w:tr>
    </w:tbl>
    <w:p w14:paraId="1CB96AEF" w14:textId="77777777" w:rsidR="003D0CA9" w:rsidRDefault="003D0CA9" w:rsidP="00580F9A"/>
    <w:sectPr w:rsidR="003D0CA9" w:rsidSect="00143DB4">
      <w:headerReference w:type="even" r:id="rId10"/>
      <w:headerReference w:type="default" r:id="rId11"/>
      <w:footerReference w:type="default" r:id="rId12"/>
      <w:headerReference w:type="first" r:id="rId13"/>
      <w:footerReference w:type="first" r:id="rId14"/>
      <w:pgSz w:w="11906" w:h="16838"/>
      <w:pgMar w:top="2381" w:right="567" w:bottom="1418" w:left="567" w:header="567" w:footer="567"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4C0C9" w14:textId="77777777" w:rsidR="007507F9" w:rsidRDefault="007507F9" w:rsidP="00585BB7">
      <w:pPr>
        <w:spacing w:after="0"/>
      </w:pPr>
      <w:r>
        <w:separator/>
      </w:r>
    </w:p>
  </w:endnote>
  <w:endnote w:type="continuationSeparator" w:id="0">
    <w:p w14:paraId="0373D45A" w14:textId="77777777" w:rsidR="007507F9" w:rsidRDefault="007507F9" w:rsidP="00585B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8B0B6" w14:textId="77777777" w:rsidR="006705D4" w:rsidRDefault="006705D4" w:rsidP="006705D4">
    <w:r>
      <w:rPr>
        <w:noProof/>
      </w:rPr>
      <w:drawing>
        <wp:anchor distT="0" distB="0" distL="114300" distR="114300" simplePos="0" relativeHeight="251673600" behindDoc="1" locked="0" layoutInCell="1" allowOverlap="1" wp14:anchorId="47318D99" wp14:editId="5311FCD3">
          <wp:simplePos x="0" y="0"/>
          <wp:positionH relativeFrom="column">
            <wp:posOffset>-305435</wp:posOffset>
          </wp:positionH>
          <wp:positionV relativeFrom="page">
            <wp:posOffset>9452923</wp:posOffset>
          </wp:positionV>
          <wp:extent cx="2447290" cy="941696"/>
          <wp:effectExtent l="0" t="0" r="0" b="0"/>
          <wp:wrapNone/>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b="31152"/>
                  <a:stretch/>
                </pic:blipFill>
                <pic:spPr bwMode="auto">
                  <a:xfrm>
                    <a:off x="0" y="0"/>
                    <a:ext cx="2447290" cy="9416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9022E9" w14:textId="77777777" w:rsidR="006705D4" w:rsidRDefault="006705D4" w:rsidP="006705D4"/>
  <w:p w14:paraId="65983AF4" w14:textId="77777777" w:rsidR="006705D4" w:rsidRPr="00143DB4" w:rsidRDefault="006705D4" w:rsidP="006705D4"/>
  <w:p w14:paraId="1C1A9B94" w14:textId="77777777" w:rsidR="006A7E96" w:rsidRPr="004146AD" w:rsidRDefault="00231AAA" w:rsidP="004146AD">
    <w:pPr>
      <w:pStyle w:val="Footer"/>
    </w:pPr>
    <w:r>
      <w:rPr>
        <w:noProof/>
      </w:rPr>
      <w:drawing>
        <wp:anchor distT="0" distB="0" distL="114300" distR="114300" simplePos="0" relativeHeight="251681792" behindDoc="1" locked="0" layoutInCell="1" allowOverlap="1" wp14:anchorId="741D071C" wp14:editId="18A6C2EC">
          <wp:simplePos x="0" y="0"/>
          <wp:positionH relativeFrom="page">
            <wp:posOffset>6081395</wp:posOffset>
          </wp:positionH>
          <wp:positionV relativeFrom="page">
            <wp:posOffset>10156825</wp:posOffset>
          </wp:positionV>
          <wp:extent cx="1166400" cy="198000"/>
          <wp:effectExtent l="0" t="0" r="2540" b="5715"/>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166400" cy="19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8E53" w14:textId="77777777" w:rsidR="00143DB4" w:rsidRDefault="00143DB4" w:rsidP="00143DB4">
    <w:r>
      <w:rPr>
        <w:noProof/>
      </w:rPr>
      <w:drawing>
        <wp:anchor distT="0" distB="0" distL="114300" distR="114300" simplePos="0" relativeHeight="251669504" behindDoc="1" locked="0" layoutInCell="1" allowOverlap="1" wp14:anchorId="11AB12C0" wp14:editId="6AFAF7C2">
          <wp:simplePos x="0" y="0"/>
          <wp:positionH relativeFrom="column">
            <wp:posOffset>-305435</wp:posOffset>
          </wp:positionH>
          <wp:positionV relativeFrom="page">
            <wp:posOffset>9452923</wp:posOffset>
          </wp:positionV>
          <wp:extent cx="2447290" cy="941696"/>
          <wp:effectExtent l="0" t="0" r="0" b="0"/>
          <wp:wrapNone/>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b="31152"/>
                  <a:stretch/>
                </pic:blipFill>
                <pic:spPr bwMode="auto">
                  <a:xfrm>
                    <a:off x="0" y="0"/>
                    <a:ext cx="2447290" cy="9416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AEDCEC" w14:textId="77777777" w:rsidR="00143DB4" w:rsidRDefault="00143DB4" w:rsidP="00143DB4"/>
  <w:p w14:paraId="145E0A40" w14:textId="77777777" w:rsidR="00143DB4" w:rsidRPr="00143DB4" w:rsidRDefault="00143DB4" w:rsidP="00143DB4"/>
  <w:p w14:paraId="76BBFBC9" w14:textId="77777777" w:rsidR="00143DB4" w:rsidRPr="00143DB4" w:rsidRDefault="00231AAA" w:rsidP="00143DB4">
    <w:r>
      <w:rPr>
        <w:noProof/>
      </w:rPr>
      <w:drawing>
        <wp:anchor distT="0" distB="0" distL="114300" distR="114300" simplePos="0" relativeHeight="251679744" behindDoc="1" locked="0" layoutInCell="1" allowOverlap="1" wp14:anchorId="38FFCD88" wp14:editId="487C9E37">
          <wp:simplePos x="0" y="0"/>
          <wp:positionH relativeFrom="page">
            <wp:posOffset>6081395</wp:posOffset>
          </wp:positionH>
          <wp:positionV relativeFrom="page">
            <wp:posOffset>10156825</wp:posOffset>
          </wp:positionV>
          <wp:extent cx="1166400" cy="198000"/>
          <wp:effectExtent l="0" t="0" r="2540" b="5715"/>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166400" cy="19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36036" w14:textId="77777777" w:rsidR="007507F9" w:rsidRDefault="007507F9" w:rsidP="00585BB7">
      <w:pPr>
        <w:spacing w:after="0"/>
      </w:pPr>
      <w:r>
        <w:separator/>
      </w:r>
    </w:p>
  </w:footnote>
  <w:footnote w:type="continuationSeparator" w:id="0">
    <w:p w14:paraId="6B06EAD0" w14:textId="77777777" w:rsidR="007507F9" w:rsidRDefault="007507F9" w:rsidP="00585B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7819030"/>
      <w:docPartObj>
        <w:docPartGallery w:val="Page Numbers (Top of Page)"/>
        <w:docPartUnique/>
      </w:docPartObj>
    </w:sdtPr>
    <w:sdtEndPr>
      <w:rPr>
        <w:rStyle w:val="PageNumber"/>
      </w:rPr>
    </w:sdtEndPr>
    <w:sdtContent>
      <w:p w14:paraId="52448EDE" w14:textId="77777777" w:rsidR="006A7E96" w:rsidRDefault="006A7E96" w:rsidP="00B1005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705D4">
          <w:rPr>
            <w:rStyle w:val="PageNumber"/>
          </w:rPr>
          <w:t>1</w:t>
        </w:r>
        <w:r>
          <w:rPr>
            <w:rStyle w:val="PageNumber"/>
          </w:rPr>
          <w:fldChar w:fldCharType="end"/>
        </w:r>
      </w:p>
    </w:sdtContent>
  </w:sdt>
  <w:p w14:paraId="2B29C13A" w14:textId="77777777" w:rsidR="006A7E96" w:rsidRDefault="006A7E96" w:rsidP="006A7E9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0240307"/>
      <w:docPartObj>
        <w:docPartGallery w:val="Page Numbers (Top of Page)"/>
        <w:docPartUnique/>
      </w:docPartObj>
    </w:sdtPr>
    <w:sdtEndPr>
      <w:rPr>
        <w:rStyle w:val="PageNumber"/>
      </w:rPr>
    </w:sdtEndPr>
    <w:sdtContent>
      <w:p w14:paraId="58D8DD6E" w14:textId="77777777" w:rsidR="006A7E96" w:rsidRDefault="006A7E96" w:rsidP="006846B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12B3AC97" w14:textId="1FF69A0D" w:rsidR="006A7E96" w:rsidRPr="006A7E96" w:rsidRDefault="006A7E96" w:rsidP="006A7E96">
    <w:pPr>
      <w:pStyle w:val="Header"/>
      <w:ind w:right="360"/>
    </w:pPr>
    <w:r w:rsidRPr="00585BB7">
      <mc:AlternateContent>
        <mc:Choice Requires="wps">
          <w:drawing>
            <wp:anchor distT="0" distB="0" distL="114300" distR="114300" simplePos="0" relativeHeight="251665408" behindDoc="1" locked="0" layoutInCell="1" allowOverlap="1" wp14:anchorId="650603DC" wp14:editId="32CEEB9C">
              <wp:simplePos x="0" y="0"/>
              <wp:positionH relativeFrom="page">
                <wp:align>center</wp:align>
              </wp:positionH>
              <wp:positionV relativeFrom="page">
                <wp:posOffset>935990</wp:posOffset>
              </wp:positionV>
              <wp:extent cx="6840000" cy="0"/>
              <wp:effectExtent l="0" t="12700" r="18415" b="12700"/>
              <wp:wrapNone/>
              <wp:docPr id="2" name="Straight Connector 2"/>
              <wp:cNvGraphicFramePr/>
              <a:graphic xmlns:a="http://schemas.openxmlformats.org/drawingml/2006/main">
                <a:graphicData uri="http://schemas.microsoft.com/office/word/2010/wordprocessingShape">
                  <wps:wsp>
                    <wps:cNvCnPr/>
                    <wps:spPr>
                      <a:xfrm>
                        <a:off x="0" y="0"/>
                        <a:ext cx="6840000" cy="0"/>
                      </a:xfrm>
                      <a:prstGeom prst="line">
                        <a:avLst/>
                      </a:prstGeom>
                      <a:noFill/>
                      <a:ln w="19050" cap="flat" cmpd="sng" algn="ctr">
                        <a:solidFill>
                          <a:srgbClr val="001DFF"/>
                        </a:solidFill>
                        <a:prstDash val="solid"/>
                        <a:miter lim="800000"/>
                      </a:ln>
                      <a:effectLst/>
                    </wps:spPr>
                    <wps:bodyPr/>
                  </wps:wsp>
                </a:graphicData>
              </a:graphic>
              <wp14:sizeRelH relativeFrom="margin">
                <wp14:pctWidth>0</wp14:pctWidth>
              </wp14:sizeRelH>
            </wp:anchor>
          </w:drawing>
        </mc:Choice>
        <mc:Fallback>
          <w:pict>
            <v:line w14:anchorId="32B786F7" id="Straight Connector 2" o:spid="_x0000_s1026" style="position:absolute;z-index:-251651072;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3.7pt" to="538.6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" strokecolor="#001dff" strokeweight="1.5pt">
              <v:stroke joinstyle="miter"/>
              <w10:wrap anchorx="page" anchory="page"/>
            </v:line>
          </w:pict>
        </mc:Fallback>
      </mc:AlternateContent>
    </w:r>
    <w:r w:rsidR="001D6CFE" w:rsidRPr="001D6CFE">
      <w:t>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1C112" w14:textId="77777777" w:rsidR="007417B2" w:rsidRDefault="004221A4" w:rsidP="00143DB4">
    <w:pPr>
      <w:pStyle w:val="Header"/>
      <w:spacing w:after="3400"/>
    </w:pPr>
    <w:r>
      <w:drawing>
        <wp:anchor distT="0" distB="0" distL="114300" distR="114300" simplePos="0" relativeHeight="251662335" behindDoc="1" locked="0" layoutInCell="1" allowOverlap="1" wp14:anchorId="5090940D" wp14:editId="558C9907">
          <wp:simplePos x="0" y="0"/>
          <wp:positionH relativeFrom="page">
            <wp:posOffset>3098800</wp:posOffset>
          </wp:positionH>
          <wp:positionV relativeFrom="page">
            <wp:posOffset>12065</wp:posOffset>
          </wp:positionV>
          <wp:extent cx="4452620" cy="12589251"/>
          <wp:effectExtent l="0" t="0" r="5080" b="0"/>
          <wp:wrapNone/>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452620" cy="12589251"/>
                  </a:xfrm>
                  <a:prstGeom prst="rect">
                    <a:avLst/>
                  </a:prstGeom>
                </pic:spPr>
              </pic:pic>
            </a:graphicData>
          </a:graphic>
          <wp14:sizeRelH relativeFrom="margin">
            <wp14:pctWidth>0</wp14:pctWidth>
          </wp14:sizeRelH>
          <wp14:sizeRelV relativeFrom="margin">
            <wp14:pctHeight>0</wp14:pctHeight>
          </wp14:sizeRelV>
        </wp:anchor>
      </w:drawing>
    </w:r>
    <w:r>
      <w:rPr>
        <w:b/>
        <w:bCs/>
        <w:color w:val="FF00E4"/>
      </w:rPr>
      <mc:AlternateContent>
        <mc:Choice Requires="wps">
          <w:drawing>
            <wp:anchor distT="0" distB="0" distL="114300" distR="114300" simplePos="0" relativeHeight="251671552" behindDoc="0" locked="0" layoutInCell="1" allowOverlap="1" wp14:anchorId="0DD78760" wp14:editId="20711B95">
              <wp:simplePos x="0" y="0"/>
              <wp:positionH relativeFrom="margin">
                <wp:posOffset>-4445</wp:posOffset>
              </wp:positionH>
              <wp:positionV relativeFrom="page">
                <wp:posOffset>444500</wp:posOffset>
              </wp:positionV>
              <wp:extent cx="6540500" cy="1714500"/>
              <wp:effectExtent l="0" t="0" r="0" b="0"/>
              <wp:wrapNone/>
              <wp:docPr id="9" name="Text Box 9"/>
              <wp:cNvGraphicFramePr/>
              <a:graphic xmlns:a="http://schemas.openxmlformats.org/drawingml/2006/main">
                <a:graphicData uri="http://schemas.microsoft.com/office/word/2010/wordprocessingShape">
                  <wps:wsp>
                    <wps:cNvSpPr txBox="1"/>
                    <wps:spPr>
                      <a:xfrm>
                        <a:off x="0" y="0"/>
                        <a:ext cx="6540500" cy="1714500"/>
                      </a:xfrm>
                      <a:prstGeom prst="rect">
                        <a:avLst/>
                      </a:prstGeom>
                      <a:noFill/>
                      <a:ln w="6350">
                        <a:noFill/>
                      </a:ln>
                    </wps:spPr>
                    <wps:txbx>
                      <w:txbxContent>
                        <w:p w14:paraId="6FCE8C94" w14:textId="1141D533" w:rsidR="004221A4" w:rsidRDefault="00B21225" w:rsidP="004221A4">
                          <w:pPr>
                            <w:pStyle w:val="Title"/>
                          </w:pPr>
                          <w:r w:rsidRPr="00B21225">
                            <w:t>Application Form</w:t>
                          </w:r>
                        </w:p>
                        <w:p w14:paraId="70851A59" w14:textId="77777777" w:rsidR="002929CE" w:rsidRDefault="00B21225" w:rsidP="002929CE">
                          <w:pPr>
                            <w:pStyle w:val="Subtitle"/>
                          </w:pPr>
                          <w:r>
                            <w:t xml:space="preserve">Liquidity Provider </w:t>
                          </w:r>
                          <w:r w:rsidRPr="002929CE">
                            <w:t>Agreement</w:t>
                          </w:r>
                          <w:r>
                            <w:t xml:space="preserve"> Schedule </w:t>
                          </w:r>
                          <w:r w:rsidR="004C35F8">
                            <w:t>C</w:t>
                          </w:r>
                        </w:p>
                        <w:p w14:paraId="49B82222" w14:textId="27BBF3CF" w:rsidR="002929CE" w:rsidRDefault="002929CE" w:rsidP="002929CE">
                          <w:pPr>
                            <w:pStyle w:val="Subtitle"/>
                            <w:spacing w:after="300"/>
                          </w:pPr>
                          <w:r w:rsidRPr="002929CE">
                            <w:t>Version 1.0</w:t>
                          </w:r>
                        </w:p>
                        <w:p w14:paraId="61F3F97B" w14:textId="08032DDF" w:rsidR="004221A4" w:rsidRPr="00A6562B" w:rsidRDefault="00B21225" w:rsidP="00B21225">
                          <w:pPr>
                            <w:pStyle w:val="Subtitle"/>
                          </w:pPr>
                          <w:r>
                            <w:t>2</w:t>
                          </w:r>
                          <w:r w:rsidR="003B5685">
                            <w:t>1</w:t>
                          </w:r>
                          <w:r>
                            <w:t xml:space="preserve"> </w:t>
                          </w:r>
                          <w:r w:rsidR="003B5685">
                            <w:t>May 2021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78760" id="_x0000_t202" coordsize="21600,21600" o:spt="202" path="m,l,21600r21600,l21600,xe">
              <v:stroke joinstyle="miter"/>
              <v:path gradientshapeok="t" o:connecttype="rect"/>
            </v:shapetype>
            <v:shape id="Text Box 9" o:spid="_x0000_s1026" type="#_x0000_t202" style="position:absolute;margin-left:-.35pt;margin-top:35pt;width:515pt;height:1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" filled="f" stroked="f" strokeweight=".5pt">
              <v:textbox inset="0,0,0,0">
                <w:txbxContent>
                  <w:p w14:paraId="6FCE8C94" w14:textId="1141D533" w:rsidR="004221A4" w:rsidRDefault="00B21225" w:rsidP="004221A4">
                    <w:pPr>
                      <w:pStyle w:val="Title"/>
                    </w:pPr>
                    <w:r w:rsidRPr="00B21225">
                      <w:t>Application Form</w:t>
                    </w:r>
                  </w:p>
                  <w:p w14:paraId="70851A59" w14:textId="77777777" w:rsidR="002929CE" w:rsidRDefault="00B21225" w:rsidP="002929CE">
                    <w:pPr>
                      <w:pStyle w:val="Subtitle"/>
                    </w:pPr>
                    <w:r>
                      <w:t xml:space="preserve">Liquidity Provider </w:t>
                    </w:r>
                    <w:r w:rsidRPr="002929CE">
                      <w:t>Agreement</w:t>
                    </w:r>
                    <w:r>
                      <w:t xml:space="preserve"> Schedule </w:t>
                    </w:r>
                    <w:r w:rsidR="004C35F8">
                      <w:t>C</w:t>
                    </w:r>
                  </w:p>
                  <w:p w14:paraId="49B82222" w14:textId="27BBF3CF" w:rsidR="002929CE" w:rsidRDefault="002929CE" w:rsidP="002929CE">
                    <w:pPr>
                      <w:pStyle w:val="Subtitle"/>
                      <w:spacing w:after="300"/>
                    </w:pPr>
                    <w:r w:rsidRPr="002929CE">
                      <w:t>Version 1.0</w:t>
                    </w:r>
                  </w:p>
                  <w:p w14:paraId="61F3F97B" w14:textId="08032DDF" w:rsidR="004221A4" w:rsidRPr="00A6562B" w:rsidRDefault="00B21225" w:rsidP="00B21225">
                    <w:pPr>
                      <w:pStyle w:val="Subtitle"/>
                    </w:pPr>
                    <w:r>
                      <w:t>2</w:t>
                    </w:r>
                    <w:r w:rsidR="003B5685">
                      <w:t>1</w:t>
                    </w:r>
                    <w:r>
                      <w:t xml:space="preserve"> </w:t>
                    </w:r>
                    <w:r w:rsidR="003B5685">
                      <w:t>May 2021</w:t>
                    </w:r>
                  </w:p>
                </w:txbxContent>
              </v:textbox>
              <w10:wrap anchorx="margin" anchory="page"/>
            </v:shape>
          </w:pict>
        </mc:Fallback>
      </mc:AlternateContent>
    </w:r>
    <w:r w:rsidR="007417B2" w:rsidRPr="00585BB7">
      <mc:AlternateContent>
        <mc:Choice Requires="wps">
          <w:drawing>
            <wp:anchor distT="0" distB="0" distL="114300" distR="114300" simplePos="0" relativeHeight="251663360" behindDoc="1" locked="0" layoutInCell="1" allowOverlap="1" wp14:anchorId="2E3BF554" wp14:editId="4D3F54F5">
              <wp:simplePos x="0" y="0"/>
              <wp:positionH relativeFrom="page">
                <wp:posOffset>351155</wp:posOffset>
              </wp:positionH>
              <wp:positionV relativeFrom="page">
                <wp:posOffset>2155190</wp:posOffset>
              </wp:positionV>
              <wp:extent cx="6840000" cy="0"/>
              <wp:effectExtent l="0" t="12700" r="18415" b="12700"/>
              <wp:wrapNone/>
              <wp:docPr id="8" name="Straight Connector 8"/>
              <wp:cNvGraphicFramePr/>
              <a:graphic xmlns:a="http://schemas.openxmlformats.org/drawingml/2006/main">
                <a:graphicData uri="http://schemas.microsoft.com/office/word/2010/wordprocessingShape">
                  <wps:wsp>
                    <wps:cNvCnPr/>
                    <wps:spPr>
                      <a:xfrm>
                        <a:off x="0" y="0"/>
                        <a:ext cx="6840000" cy="0"/>
                      </a:xfrm>
                      <a:prstGeom prst="line">
                        <a:avLst/>
                      </a:prstGeom>
                      <a:noFill/>
                      <a:ln w="25400" cap="flat" cmpd="sng" algn="ctr">
                        <a:solidFill>
                          <a:srgbClr val="001DFF"/>
                        </a:solidFill>
                        <a:prstDash val="solid"/>
                        <a:miter lim="800000"/>
                      </a:ln>
                      <a:effectLst/>
                    </wps:spPr>
                    <wps:bodyPr/>
                  </wps:wsp>
                </a:graphicData>
              </a:graphic>
              <wp14:sizeRelH relativeFrom="margin">
                <wp14:pctWidth>0</wp14:pctWidth>
              </wp14:sizeRelH>
            </wp:anchor>
          </w:drawing>
        </mc:Choice>
        <mc:Fallback>
          <w:pict>
            <v:line w14:anchorId="4D8C3327" id="Straight Connector 8" o:spid="_x0000_s1026" style="position:absolute;z-index:-2516531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7.65pt,169.7pt" to="566.25pt,1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" strokecolor="#001dff" strokeweight="2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C8D1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CCC4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1AFF5E"/>
    <w:lvl w:ilvl="0">
      <w:start w:val="1"/>
      <w:numFmt w:val="lowerRoman"/>
      <w:pStyle w:val="ListNumber3"/>
      <w:lvlText w:val="%1."/>
      <w:lvlJc w:val="left"/>
      <w:pPr>
        <w:tabs>
          <w:tab w:val="num" w:pos="566"/>
        </w:tabs>
        <w:ind w:left="566" w:firstLine="0"/>
      </w:pPr>
      <w:rPr>
        <w:rFonts w:hint="default"/>
      </w:rPr>
    </w:lvl>
  </w:abstractNum>
  <w:abstractNum w:abstractNumId="3" w15:restartNumberingAfterBreak="0">
    <w:nsid w:val="FFFFFF7F"/>
    <w:multiLevelType w:val="singleLevel"/>
    <w:tmpl w:val="CFE890AA"/>
    <w:lvl w:ilvl="0">
      <w:start w:val="1"/>
      <w:numFmt w:val="lowerLetter"/>
      <w:pStyle w:val="ListNumber2"/>
      <w:lvlText w:val="%1."/>
      <w:lvlJc w:val="left"/>
      <w:pPr>
        <w:ind w:left="567" w:hanging="284"/>
      </w:pPr>
      <w:rPr>
        <w:rFonts w:hint="default"/>
      </w:rPr>
    </w:lvl>
  </w:abstractNum>
  <w:abstractNum w:abstractNumId="4" w15:restartNumberingAfterBreak="0">
    <w:nsid w:val="FFFFFF80"/>
    <w:multiLevelType w:val="singleLevel"/>
    <w:tmpl w:val="7C2404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B669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E6F0E"/>
    <w:lvl w:ilvl="0">
      <w:start w:val="1"/>
      <w:numFmt w:val="bullet"/>
      <w:pStyle w:val="ListBullet3"/>
      <w:lvlText w:val=""/>
      <w:lvlJc w:val="left"/>
      <w:pPr>
        <w:tabs>
          <w:tab w:val="num" w:pos="566"/>
        </w:tabs>
        <w:ind w:left="566" w:firstLine="0"/>
      </w:pPr>
      <w:rPr>
        <w:rFonts w:ascii="Symbol" w:hAnsi="Symbol" w:hint="default"/>
      </w:rPr>
    </w:lvl>
  </w:abstractNum>
  <w:abstractNum w:abstractNumId="7" w15:restartNumberingAfterBreak="0">
    <w:nsid w:val="FFFFFF83"/>
    <w:multiLevelType w:val="singleLevel"/>
    <w:tmpl w:val="2D489F1C"/>
    <w:lvl w:ilvl="0">
      <w:start w:val="1"/>
      <w:numFmt w:val="bullet"/>
      <w:pStyle w:val="ListBullet2"/>
      <w:lvlText w:val=""/>
      <w:lvlJc w:val="left"/>
      <w:pPr>
        <w:tabs>
          <w:tab w:val="num" w:pos="567"/>
        </w:tabs>
        <w:ind w:left="567" w:hanging="284"/>
      </w:pPr>
      <w:rPr>
        <w:rFonts w:ascii="Symbol" w:hAnsi="Symbol" w:hint="default"/>
      </w:rPr>
    </w:lvl>
  </w:abstractNum>
  <w:abstractNum w:abstractNumId="8" w15:restartNumberingAfterBreak="0">
    <w:nsid w:val="FFFFFF88"/>
    <w:multiLevelType w:val="singleLevel"/>
    <w:tmpl w:val="E5CC5F2A"/>
    <w:lvl w:ilvl="0">
      <w:start w:val="1"/>
      <w:numFmt w:val="decimal"/>
      <w:pStyle w:val="ListNumber"/>
      <w:lvlText w:val="%1."/>
      <w:lvlJc w:val="left"/>
      <w:pPr>
        <w:ind w:left="284" w:hanging="284"/>
      </w:pPr>
      <w:rPr>
        <w:rFonts w:ascii="Arial Bold" w:hAnsi="Arial Bold" w:hint="default"/>
        <w:b/>
        <w:i w:val="0"/>
        <w:color w:val="001DFF" w:themeColor="text2"/>
      </w:rPr>
    </w:lvl>
  </w:abstractNum>
  <w:abstractNum w:abstractNumId="9" w15:restartNumberingAfterBreak="0">
    <w:nsid w:val="FFFFFF89"/>
    <w:multiLevelType w:val="singleLevel"/>
    <w:tmpl w:val="6770BE7A"/>
    <w:lvl w:ilvl="0">
      <w:start w:val="1"/>
      <w:numFmt w:val="bullet"/>
      <w:pStyle w:val="ListBullet"/>
      <w:lvlText w:val=""/>
      <w:lvlJc w:val="left"/>
      <w:pPr>
        <w:tabs>
          <w:tab w:val="num" w:pos="284"/>
        </w:tabs>
        <w:ind w:left="284" w:hanging="284"/>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6E3"/>
    <w:rsid w:val="00000402"/>
    <w:rsid w:val="00034C8C"/>
    <w:rsid w:val="00047B1B"/>
    <w:rsid w:val="000513F7"/>
    <w:rsid w:val="000C7177"/>
    <w:rsid w:val="000D7664"/>
    <w:rsid w:val="000E7565"/>
    <w:rsid w:val="001006E3"/>
    <w:rsid w:val="001075EA"/>
    <w:rsid w:val="001201D1"/>
    <w:rsid w:val="00143DB4"/>
    <w:rsid w:val="001D6CFE"/>
    <w:rsid w:val="00201A40"/>
    <w:rsid w:val="002064EF"/>
    <w:rsid w:val="00213045"/>
    <w:rsid w:val="00231AAA"/>
    <w:rsid w:val="002323AE"/>
    <w:rsid w:val="0024314E"/>
    <w:rsid w:val="00245CB7"/>
    <w:rsid w:val="002929CE"/>
    <w:rsid w:val="002C17D0"/>
    <w:rsid w:val="0032691E"/>
    <w:rsid w:val="0036377B"/>
    <w:rsid w:val="00372EE6"/>
    <w:rsid w:val="003832DB"/>
    <w:rsid w:val="003A44A5"/>
    <w:rsid w:val="003A5921"/>
    <w:rsid w:val="003B5685"/>
    <w:rsid w:val="003D0CA9"/>
    <w:rsid w:val="003D39DE"/>
    <w:rsid w:val="00400CD7"/>
    <w:rsid w:val="004022C1"/>
    <w:rsid w:val="004074D3"/>
    <w:rsid w:val="00407E6A"/>
    <w:rsid w:val="004146AD"/>
    <w:rsid w:val="004221A4"/>
    <w:rsid w:val="00441C16"/>
    <w:rsid w:val="004442F0"/>
    <w:rsid w:val="004564E7"/>
    <w:rsid w:val="00474768"/>
    <w:rsid w:val="0049411C"/>
    <w:rsid w:val="004C35F8"/>
    <w:rsid w:val="004C4669"/>
    <w:rsid w:val="004C7FBC"/>
    <w:rsid w:val="004D39F4"/>
    <w:rsid w:val="004E2D88"/>
    <w:rsid w:val="004E4C52"/>
    <w:rsid w:val="00544CF5"/>
    <w:rsid w:val="00551CC2"/>
    <w:rsid w:val="005678E5"/>
    <w:rsid w:val="00580F9A"/>
    <w:rsid w:val="00582417"/>
    <w:rsid w:val="00583494"/>
    <w:rsid w:val="005835A0"/>
    <w:rsid w:val="00585BB7"/>
    <w:rsid w:val="005952B8"/>
    <w:rsid w:val="005D0C5F"/>
    <w:rsid w:val="006030D4"/>
    <w:rsid w:val="006656CA"/>
    <w:rsid w:val="006705D4"/>
    <w:rsid w:val="006846BA"/>
    <w:rsid w:val="006A4D6F"/>
    <w:rsid w:val="006A7E96"/>
    <w:rsid w:val="006C7A1B"/>
    <w:rsid w:val="006F1FA1"/>
    <w:rsid w:val="007005B8"/>
    <w:rsid w:val="00704A84"/>
    <w:rsid w:val="007326C8"/>
    <w:rsid w:val="007401AA"/>
    <w:rsid w:val="007417B2"/>
    <w:rsid w:val="0074573E"/>
    <w:rsid w:val="007507F9"/>
    <w:rsid w:val="00767623"/>
    <w:rsid w:val="00803D92"/>
    <w:rsid w:val="00812001"/>
    <w:rsid w:val="008729F2"/>
    <w:rsid w:val="00877DA4"/>
    <w:rsid w:val="00884208"/>
    <w:rsid w:val="008A0D50"/>
    <w:rsid w:val="008A5AB5"/>
    <w:rsid w:val="008D55EC"/>
    <w:rsid w:val="008E3EE3"/>
    <w:rsid w:val="008E59C1"/>
    <w:rsid w:val="00903D65"/>
    <w:rsid w:val="00911A81"/>
    <w:rsid w:val="00953A57"/>
    <w:rsid w:val="00960E76"/>
    <w:rsid w:val="009768FC"/>
    <w:rsid w:val="00985D4E"/>
    <w:rsid w:val="00992502"/>
    <w:rsid w:val="009A213C"/>
    <w:rsid w:val="009C0BEA"/>
    <w:rsid w:val="009D15F7"/>
    <w:rsid w:val="009E35E4"/>
    <w:rsid w:val="00A00270"/>
    <w:rsid w:val="00A02430"/>
    <w:rsid w:val="00A124D1"/>
    <w:rsid w:val="00A14530"/>
    <w:rsid w:val="00A22669"/>
    <w:rsid w:val="00A50BDA"/>
    <w:rsid w:val="00A6562B"/>
    <w:rsid w:val="00A8149F"/>
    <w:rsid w:val="00AA0567"/>
    <w:rsid w:val="00AE2287"/>
    <w:rsid w:val="00B21225"/>
    <w:rsid w:val="00B40499"/>
    <w:rsid w:val="00B60F3C"/>
    <w:rsid w:val="00B6645B"/>
    <w:rsid w:val="00B779F9"/>
    <w:rsid w:val="00B97E14"/>
    <w:rsid w:val="00BB789F"/>
    <w:rsid w:val="00C03A5B"/>
    <w:rsid w:val="00C62ABB"/>
    <w:rsid w:val="00D256AF"/>
    <w:rsid w:val="00D34208"/>
    <w:rsid w:val="00D723F1"/>
    <w:rsid w:val="00DA14E7"/>
    <w:rsid w:val="00DC294C"/>
    <w:rsid w:val="00DC6903"/>
    <w:rsid w:val="00E27E81"/>
    <w:rsid w:val="00E46EA7"/>
    <w:rsid w:val="00E47709"/>
    <w:rsid w:val="00E47B01"/>
    <w:rsid w:val="00E51724"/>
    <w:rsid w:val="00E72CF9"/>
    <w:rsid w:val="00F01F4B"/>
    <w:rsid w:val="00F26677"/>
    <w:rsid w:val="00F317AC"/>
    <w:rsid w:val="00F8490A"/>
    <w:rsid w:val="00F97BF3"/>
    <w:rsid w:val="00FA187B"/>
    <w:rsid w:val="00FE6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A67545"/>
  <w15:chartTrackingRefBased/>
  <w15:docId w15:val="{75AD34C1-B615-4A34-943D-743F1830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6CA"/>
    <w:pPr>
      <w:spacing w:after="120"/>
    </w:pPr>
    <w:rPr>
      <w:rFonts w:cs="Times New Roman (Body CS)"/>
      <w:color w:val="000000" w:themeColor="text1"/>
      <w:sz w:val="18"/>
    </w:rPr>
  </w:style>
  <w:style w:type="paragraph" w:styleId="Heading1">
    <w:name w:val="heading 1"/>
    <w:next w:val="Normal"/>
    <w:link w:val="Heading1Char"/>
    <w:uiPriority w:val="9"/>
    <w:qFormat/>
    <w:rsid w:val="005D0C5F"/>
    <w:pPr>
      <w:keepNext/>
      <w:keepLines/>
      <w:spacing w:before="240" w:after="120"/>
      <w:outlineLvl w:val="0"/>
    </w:pPr>
    <w:rPr>
      <w:rFonts w:asciiTheme="majorHAnsi" w:eastAsiaTheme="majorEastAsia" w:hAnsiTheme="majorHAnsi" w:cs="Times New Roman (Headings CS)"/>
      <w:b/>
      <w:color w:val="000000" w:themeColor="text1"/>
      <w:sz w:val="22"/>
      <w:szCs w:val="32"/>
    </w:rPr>
  </w:style>
  <w:style w:type="paragraph" w:styleId="Heading2">
    <w:name w:val="heading 2"/>
    <w:next w:val="Normal"/>
    <w:link w:val="Heading2Char"/>
    <w:uiPriority w:val="9"/>
    <w:unhideWhenUsed/>
    <w:qFormat/>
    <w:rsid w:val="005D0C5F"/>
    <w:pPr>
      <w:keepNext/>
      <w:keepLines/>
      <w:spacing w:before="60" w:after="120"/>
      <w:outlineLvl w:val="1"/>
    </w:pPr>
    <w:rPr>
      <w:rFonts w:asciiTheme="majorHAnsi" w:eastAsiaTheme="majorEastAsia" w:hAnsiTheme="majorHAnsi" w:cs="Times New Roman (Headings CS)"/>
      <w:b/>
      <w:color w:val="000000" w:themeColor="text1"/>
      <w:sz w:val="19"/>
      <w:szCs w:val="26"/>
    </w:rPr>
  </w:style>
  <w:style w:type="paragraph" w:styleId="Heading3">
    <w:name w:val="heading 3"/>
    <w:next w:val="Normal"/>
    <w:link w:val="Heading3Char"/>
    <w:uiPriority w:val="9"/>
    <w:unhideWhenUsed/>
    <w:qFormat/>
    <w:rsid w:val="005D0C5F"/>
    <w:pPr>
      <w:keepNext/>
      <w:keepLines/>
      <w:spacing w:before="60" w:after="60"/>
      <w:outlineLvl w:val="2"/>
    </w:pPr>
    <w:rPr>
      <w:rFonts w:asciiTheme="majorHAnsi" w:eastAsiaTheme="majorEastAsia" w:hAnsiTheme="majorHAnsi" w:cs="Times New Roman (Headings CS)"/>
      <w:color w:val="001DFF" w:themeColor="text2"/>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585BB7"/>
    <w:pPr>
      <w:tabs>
        <w:tab w:val="center" w:pos="4513"/>
        <w:tab w:val="right" w:pos="9026"/>
      </w:tabs>
    </w:pPr>
    <w:rPr>
      <w:rFonts w:cs="Times New Roman (Body CS)"/>
      <w:noProof/>
      <w:color w:val="001DFF" w:themeColor="text2"/>
      <w:sz w:val="16"/>
    </w:rPr>
  </w:style>
  <w:style w:type="character" w:customStyle="1" w:styleId="HeaderChar">
    <w:name w:val="Header Char"/>
    <w:basedOn w:val="DefaultParagraphFont"/>
    <w:link w:val="Header"/>
    <w:uiPriority w:val="99"/>
    <w:rsid w:val="00585BB7"/>
    <w:rPr>
      <w:rFonts w:cs="Times New Roman (Body CS)"/>
      <w:noProof/>
      <w:color w:val="001DFF" w:themeColor="text2"/>
      <w:sz w:val="16"/>
    </w:rPr>
  </w:style>
  <w:style w:type="paragraph" w:styleId="Footer">
    <w:name w:val="footer"/>
    <w:link w:val="FooterChar"/>
    <w:uiPriority w:val="99"/>
    <w:unhideWhenUsed/>
    <w:rsid w:val="004146AD"/>
    <w:pPr>
      <w:tabs>
        <w:tab w:val="center" w:pos="4513"/>
        <w:tab w:val="right" w:pos="9026"/>
      </w:tabs>
      <w:jc w:val="right"/>
    </w:pPr>
    <w:rPr>
      <w:rFonts w:cs="Times New Roman (Body CS)"/>
      <w:color w:val="000000" w:themeColor="text1"/>
      <w:sz w:val="16"/>
    </w:rPr>
  </w:style>
  <w:style w:type="character" w:customStyle="1" w:styleId="FooterChar">
    <w:name w:val="Footer Char"/>
    <w:basedOn w:val="DefaultParagraphFont"/>
    <w:link w:val="Footer"/>
    <w:uiPriority w:val="99"/>
    <w:rsid w:val="004146AD"/>
    <w:rPr>
      <w:rFonts w:cs="Times New Roman (Body CS)"/>
      <w:color w:val="000000" w:themeColor="text1"/>
      <w:sz w:val="16"/>
    </w:rPr>
  </w:style>
  <w:style w:type="character" w:customStyle="1" w:styleId="Heading1Char">
    <w:name w:val="Heading 1 Char"/>
    <w:basedOn w:val="DefaultParagraphFont"/>
    <w:link w:val="Heading1"/>
    <w:uiPriority w:val="9"/>
    <w:rsid w:val="005D0C5F"/>
    <w:rPr>
      <w:rFonts w:asciiTheme="majorHAnsi" w:eastAsiaTheme="majorEastAsia" w:hAnsiTheme="majorHAnsi" w:cs="Times New Roman (Headings CS)"/>
      <w:b/>
      <w:color w:val="000000" w:themeColor="text1"/>
      <w:sz w:val="22"/>
      <w:szCs w:val="32"/>
    </w:rPr>
  </w:style>
  <w:style w:type="character" w:customStyle="1" w:styleId="Heading2Char">
    <w:name w:val="Heading 2 Char"/>
    <w:basedOn w:val="DefaultParagraphFont"/>
    <w:link w:val="Heading2"/>
    <w:uiPriority w:val="9"/>
    <w:rsid w:val="005D0C5F"/>
    <w:rPr>
      <w:rFonts w:asciiTheme="majorHAnsi" w:eastAsiaTheme="majorEastAsia" w:hAnsiTheme="majorHAnsi" w:cs="Times New Roman (Headings CS)"/>
      <w:b/>
      <w:color w:val="000000" w:themeColor="text1"/>
      <w:sz w:val="19"/>
      <w:szCs w:val="26"/>
    </w:rPr>
  </w:style>
  <w:style w:type="paragraph" w:customStyle="1" w:styleId="Introparagraph">
    <w:name w:val="Intro paragraph"/>
    <w:qFormat/>
    <w:rsid w:val="0036377B"/>
    <w:pPr>
      <w:spacing w:before="120" w:after="240"/>
    </w:pPr>
    <w:rPr>
      <w:rFonts w:cs="Times New Roman (Body CS)"/>
      <w:color w:val="000000" w:themeColor="text1"/>
    </w:rPr>
  </w:style>
  <w:style w:type="paragraph" w:styleId="Title">
    <w:name w:val="Title"/>
    <w:next w:val="Normal"/>
    <w:link w:val="TitleChar"/>
    <w:uiPriority w:val="10"/>
    <w:qFormat/>
    <w:rsid w:val="00A6562B"/>
    <w:pPr>
      <w:spacing w:after="240"/>
      <w:contextualSpacing/>
    </w:pPr>
    <w:rPr>
      <w:rFonts w:asciiTheme="majorHAnsi" w:eastAsiaTheme="majorEastAsia" w:hAnsiTheme="majorHAnsi" w:cs="Times New Roman (Headings CS)"/>
      <w:b/>
      <w:caps/>
      <w:color w:val="001DFF" w:themeColor="text2"/>
      <w:spacing w:val="-10"/>
      <w:kern w:val="28"/>
      <w:sz w:val="48"/>
      <w:szCs w:val="56"/>
    </w:rPr>
  </w:style>
  <w:style w:type="character" w:customStyle="1" w:styleId="TitleChar">
    <w:name w:val="Title Char"/>
    <w:basedOn w:val="DefaultParagraphFont"/>
    <w:link w:val="Title"/>
    <w:uiPriority w:val="10"/>
    <w:rsid w:val="00A6562B"/>
    <w:rPr>
      <w:rFonts w:asciiTheme="majorHAnsi" w:eastAsiaTheme="majorEastAsia" w:hAnsiTheme="majorHAnsi" w:cs="Times New Roman (Headings CS)"/>
      <w:b/>
      <w:caps/>
      <w:color w:val="001DFF" w:themeColor="text2"/>
      <w:spacing w:val="-10"/>
      <w:kern w:val="28"/>
      <w:sz w:val="48"/>
      <w:szCs w:val="56"/>
    </w:rPr>
  </w:style>
  <w:style w:type="character" w:customStyle="1" w:styleId="Heading3Char">
    <w:name w:val="Heading 3 Char"/>
    <w:basedOn w:val="DefaultParagraphFont"/>
    <w:link w:val="Heading3"/>
    <w:uiPriority w:val="9"/>
    <w:rsid w:val="005D0C5F"/>
    <w:rPr>
      <w:rFonts w:asciiTheme="majorHAnsi" w:eastAsiaTheme="majorEastAsia" w:hAnsiTheme="majorHAnsi" w:cs="Times New Roman (Headings CS)"/>
      <w:color w:val="001DFF" w:themeColor="text2"/>
      <w:sz w:val="19"/>
    </w:rPr>
  </w:style>
  <w:style w:type="paragraph" w:styleId="ListBullet">
    <w:name w:val="List Bullet"/>
    <w:basedOn w:val="Normal"/>
    <w:uiPriority w:val="99"/>
    <w:unhideWhenUsed/>
    <w:rsid w:val="005D0C5F"/>
    <w:pPr>
      <w:numPr>
        <w:numId w:val="10"/>
      </w:numPr>
      <w:contextualSpacing/>
    </w:pPr>
  </w:style>
  <w:style w:type="paragraph" w:styleId="ListBullet2">
    <w:name w:val="List Bullet 2"/>
    <w:basedOn w:val="Normal"/>
    <w:uiPriority w:val="99"/>
    <w:unhideWhenUsed/>
    <w:rsid w:val="005D0C5F"/>
    <w:pPr>
      <w:numPr>
        <w:numId w:val="9"/>
      </w:numPr>
      <w:contextualSpacing/>
    </w:pPr>
  </w:style>
  <w:style w:type="paragraph" w:styleId="BlockText">
    <w:name w:val="Block Text"/>
    <w:basedOn w:val="Normal"/>
    <w:uiPriority w:val="99"/>
    <w:unhideWhenUsed/>
    <w:rsid w:val="00DA14E7"/>
    <w:pPr>
      <w:pBdr>
        <w:top w:val="single" w:sz="2" w:space="10" w:color="EAEAEA"/>
        <w:left w:val="single" w:sz="2" w:space="10" w:color="EAEAEA"/>
        <w:bottom w:val="single" w:sz="2" w:space="10" w:color="EAEAEA"/>
        <w:right w:val="single" w:sz="2" w:space="10" w:color="EAEAEA"/>
      </w:pBdr>
      <w:shd w:val="clear" w:color="auto" w:fill="EAEAEA"/>
      <w:ind w:left="227" w:right="227"/>
    </w:pPr>
    <w:rPr>
      <w:rFonts w:eastAsiaTheme="minorEastAsia"/>
      <w:iCs/>
    </w:rPr>
  </w:style>
  <w:style w:type="paragraph" w:styleId="ListNumber">
    <w:name w:val="List Number"/>
    <w:basedOn w:val="Normal"/>
    <w:uiPriority w:val="99"/>
    <w:unhideWhenUsed/>
    <w:rsid w:val="005D0C5F"/>
    <w:pPr>
      <w:numPr>
        <w:numId w:val="5"/>
      </w:numPr>
      <w:contextualSpacing/>
    </w:pPr>
  </w:style>
  <w:style w:type="paragraph" w:styleId="ListNumber2">
    <w:name w:val="List Number 2"/>
    <w:basedOn w:val="Normal"/>
    <w:uiPriority w:val="99"/>
    <w:unhideWhenUsed/>
    <w:rsid w:val="005D0C5F"/>
    <w:pPr>
      <w:numPr>
        <w:numId w:val="4"/>
      </w:numPr>
      <w:contextualSpacing/>
    </w:pPr>
  </w:style>
  <w:style w:type="character" w:customStyle="1" w:styleId="Blocktextheading">
    <w:name w:val="Block text heading"/>
    <w:basedOn w:val="DefaultParagraphFont"/>
    <w:uiPriority w:val="1"/>
    <w:qFormat/>
    <w:rsid w:val="00D723F1"/>
    <w:rPr>
      <w:rFonts w:ascii="Arial Bold" w:hAnsi="Arial Bold"/>
      <w:b/>
      <w:color w:val="001DFF" w:themeColor="text2"/>
      <w:sz w:val="19"/>
    </w:rPr>
  </w:style>
  <w:style w:type="character" w:styleId="PageNumber">
    <w:name w:val="page number"/>
    <w:basedOn w:val="DefaultParagraphFont"/>
    <w:uiPriority w:val="99"/>
    <w:semiHidden/>
    <w:unhideWhenUsed/>
    <w:rsid w:val="007417B2"/>
  </w:style>
  <w:style w:type="paragraph" w:styleId="Subtitle">
    <w:name w:val="Subtitle"/>
    <w:next w:val="Normal"/>
    <w:link w:val="SubtitleChar"/>
    <w:uiPriority w:val="11"/>
    <w:qFormat/>
    <w:rsid w:val="00A6562B"/>
    <w:pPr>
      <w:numPr>
        <w:ilvl w:val="1"/>
      </w:numPr>
      <w:spacing w:after="120"/>
    </w:pPr>
    <w:rPr>
      <w:rFonts w:eastAsiaTheme="minorEastAsia" w:cs="Times New Roman (Body CS)"/>
      <w:color w:val="001DFF" w:themeColor="text2"/>
      <w:spacing w:val="15"/>
      <w:sz w:val="26"/>
      <w:szCs w:val="22"/>
    </w:rPr>
  </w:style>
  <w:style w:type="character" w:customStyle="1" w:styleId="SubtitleChar">
    <w:name w:val="Subtitle Char"/>
    <w:basedOn w:val="DefaultParagraphFont"/>
    <w:link w:val="Subtitle"/>
    <w:uiPriority w:val="11"/>
    <w:rsid w:val="00A6562B"/>
    <w:rPr>
      <w:rFonts w:eastAsiaTheme="minorEastAsia" w:cs="Times New Roman (Body CS)"/>
      <w:color w:val="001DFF" w:themeColor="text2"/>
      <w:spacing w:val="15"/>
      <w:sz w:val="26"/>
      <w:szCs w:val="22"/>
    </w:rPr>
  </w:style>
  <w:style w:type="paragraph" w:styleId="IntenseQuote">
    <w:name w:val="Intense Quote"/>
    <w:next w:val="Normal"/>
    <w:link w:val="IntenseQuoteChar"/>
    <w:uiPriority w:val="30"/>
    <w:qFormat/>
    <w:rsid w:val="00213045"/>
    <w:pPr>
      <w:spacing w:before="360" w:after="240"/>
    </w:pPr>
    <w:rPr>
      <w:rFonts w:cs="Times New Roman (Body CS)"/>
      <w:iCs/>
      <w:color w:val="000000" w:themeColor="text1"/>
      <w:sz w:val="26"/>
    </w:rPr>
  </w:style>
  <w:style w:type="character" w:customStyle="1" w:styleId="IntenseQuoteChar">
    <w:name w:val="Intense Quote Char"/>
    <w:basedOn w:val="DefaultParagraphFont"/>
    <w:link w:val="IntenseQuote"/>
    <w:uiPriority w:val="30"/>
    <w:rsid w:val="00213045"/>
    <w:rPr>
      <w:rFonts w:cs="Times New Roman (Body CS)"/>
      <w:iCs/>
      <w:color w:val="000000" w:themeColor="text1"/>
      <w:sz w:val="26"/>
    </w:rPr>
  </w:style>
  <w:style w:type="character" w:customStyle="1" w:styleId="QuoteSource">
    <w:name w:val="Quote Source"/>
    <w:basedOn w:val="DefaultParagraphFont"/>
    <w:uiPriority w:val="1"/>
    <w:qFormat/>
    <w:rsid w:val="00213045"/>
    <w:rPr>
      <w:rFonts w:ascii="Arial" w:hAnsi="Arial"/>
      <w:color w:val="001DFF" w:themeColor="text2"/>
      <w:sz w:val="16"/>
    </w:rPr>
  </w:style>
  <w:style w:type="table" w:styleId="TableGrid">
    <w:name w:val="Table Grid"/>
    <w:basedOn w:val="TableNormal"/>
    <w:uiPriority w:val="39"/>
    <w:rsid w:val="00567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next w:val="Normal"/>
    <w:uiPriority w:val="99"/>
    <w:unhideWhenUsed/>
    <w:rsid w:val="00704A84"/>
    <w:rPr>
      <w:rFonts w:cs="Times New Roman (Body CS)"/>
      <w:color w:val="000000" w:themeColor="text1"/>
      <w:sz w:val="16"/>
    </w:rPr>
  </w:style>
  <w:style w:type="table" w:customStyle="1" w:styleId="LSEtablestyle">
    <w:name w:val="LSE table style"/>
    <w:basedOn w:val="TableNormal"/>
    <w:uiPriority w:val="99"/>
    <w:rsid w:val="00AE2287"/>
    <w:rPr>
      <w:color w:val="000000" w:themeColor="text1"/>
      <w:sz w:val="16"/>
    </w:rPr>
    <w:tblPr>
      <w:tblStyleRowBandSize w:val="1"/>
      <w:tblBorders>
        <w:bottom w:val="single" w:sz="4" w:space="0" w:color="000000" w:themeColor="text1"/>
        <w:insideH w:val="single" w:sz="4" w:space="0" w:color="000000" w:themeColor="text1"/>
      </w:tblBorders>
    </w:tblPr>
    <w:tcPr>
      <w:shd w:val="clear" w:color="auto" w:fill="auto"/>
      <w:tcMar>
        <w:top w:w="85" w:type="dxa"/>
        <w:bottom w:w="85" w:type="dxa"/>
      </w:tcMar>
    </w:tcPr>
    <w:tblStylePr w:type="firstRow">
      <w:rPr>
        <w:rFonts w:asciiTheme="minorHAnsi" w:hAnsiTheme="minorHAnsi"/>
        <w:b/>
        <w:color w:val="FFFFFF" w:themeColor="background1"/>
        <w:sz w:val="16"/>
      </w:rPr>
      <w:tblPr/>
      <w:tcPr>
        <w:tcBorders>
          <w:bottom w:val="nil"/>
          <w:insideV w:val="nil"/>
        </w:tcBorders>
        <w:shd w:val="clear" w:color="auto" w:fill="001DFF" w:themeFill="text2"/>
      </w:tcPr>
    </w:tblStylePr>
    <w:tblStylePr w:type="band1Horz">
      <w:tblPr/>
      <w:tcPr>
        <w:tcBorders>
          <w:insideV w:val="nil"/>
        </w:tcBorders>
        <w:shd w:val="clear" w:color="auto" w:fill="auto"/>
      </w:tcPr>
    </w:tblStylePr>
    <w:tblStylePr w:type="band2Horz">
      <w:tblPr/>
      <w:tcPr>
        <w:tcBorders>
          <w:insideV w:val="nil"/>
        </w:tcBorders>
        <w:shd w:val="clear" w:color="auto" w:fill="auto"/>
      </w:tcPr>
    </w:tblStylePr>
  </w:style>
  <w:style w:type="table" w:styleId="PlainTable1">
    <w:name w:val="Plain Table 1"/>
    <w:basedOn w:val="TableNormal"/>
    <w:uiPriority w:val="41"/>
    <w:rsid w:val="00544CF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3">
    <w:name w:val="List Number 3"/>
    <w:basedOn w:val="Normal"/>
    <w:uiPriority w:val="99"/>
    <w:unhideWhenUsed/>
    <w:rsid w:val="003A5921"/>
    <w:pPr>
      <w:numPr>
        <w:numId w:val="3"/>
      </w:numPr>
      <w:ind w:left="851" w:hanging="284"/>
      <w:contextualSpacing/>
    </w:pPr>
  </w:style>
  <w:style w:type="paragraph" w:styleId="ListBullet3">
    <w:name w:val="List Bullet 3"/>
    <w:basedOn w:val="Normal"/>
    <w:uiPriority w:val="99"/>
    <w:unhideWhenUsed/>
    <w:rsid w:val="003A5921"/>
    <w:pPr>
      <w:numPr>
        <w:numId w:val="8"/>
      </w:numPr>
      <w:ind w:left="851" w:hanging="284"/>
      <w:contextualSpacing/>
    </w:pPr>
  </w:style>
  <w:style w:type="paragraph" w:styleId="FootnoteText">
    <w:name w:val="footnote text"/>
    <w:link w:val="FootnoteTextChar"/>
    <w:uiPriority w:val="99"/>
    <w:semiHidden/>
    <w:unhideWhenUsed/>
    <w:rsid w:val="00C62ABB"/>
    <w:rPr>
      <w:rFonts w:cs="Times New Roman (Body CS)"/>
      <w:color w:val="000000" w:themeColor="text1"/>
      <w:sz w:val="16"/>
      <w:szCs w:val="20"/>
    </w:rPr>
  </w:style>
  <w:style w:type="character" w:customStyle="1" w:styleId="FootnoteTextChar">
    <w:name w:val="Footnote Text Char"/>
    <w:basedOn w:val="DefaultParagraphFont"/>
    <w:link w:val="FootnoteText"/>
    <w:uiPriority w:val="99"/>
    <w:semiHidden/>
    <w:rsid w:val="00C62ABB"/>
    <w:rPr>
      <w:rFonts w:cs="Times New Roman (Body CS)"/>
      <w:color w:val="000000" w:themeColor="text1"/>
      <w:sz w:val="16"/>
      <w:szCs w:val="20"/>
    </w:rPr>
  </w:style>
  <w:style w:type="character" w:styleId="Hyperlink">
    <w:name w:val="Hyperlink"/>
    <w:basedOn w:val="DefaultParagraphFont"/>
    <w:uiPriority w:val="99"/>
    <w:unhideWhenUsed/>
    <w:rsid w:val="006030D4"/>
    <w:rPr>
      <w:color w:val="001DFF" w:themeColor="hyperlink"/>
      <w:u w:val="single"/>
    </w:rPr>
  </w:style>
  <w:style w:type="character" w:styleId="UnresolvedMention">
    <w:name w:val="Unresolved Mention"/>
    <w:basedOn w:val="DefaultParagraphFont"/>
    <w:uiPriority w:val="99"/>
    <w:semiHidden/>
    <w:unhideWhenUsed/>
    <w:rsid w:val="006030D4"/>
    <w:rPr>
      <w:color w:val="605E5C"/>
      <w:shd w:val="clear" w:color="auto" w:fill="E1DFDD"/>
    </w:rPr>
  </w:style>
  <w:style w:type="paragraph" w:customStyle="1" w:styleId="TableParagraph">
    <w:name w:val="Table Paragraph"/>
    <w:basedOn w:val="Normal"/>
    <w:uiPriority w:val="1"/>
    <w:qFormat/>
    <w:rsid w:val="00B6645B"/>
    <w:pPr>
      <w:widowControl w:val="0"/>
      <w:autoSpaceDE w:val="0"/>
      <w:autoSpaceDN w:val="0"/>
      <w:spacing w:after="0"/>
    </w:pPr>
    <w:rPr>
      <w:rFonts w:ascii="Arial" w:eastAsia="Arial" w:hAnsi="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89808">
      <w:bodyDiv w:val="1"/>
      <w:marLeft w:val="0"/>
      <w:marRight w:val="0"/>
      <w:marTop w:val="0"/>
      <w:marBottom w:val="0"/>
      <w:divBdr>
        <w:top w:val="none" w:sz="0" w:space="0" w:color="auto"/>
        <w:left w:val="none" w:sz="0" w:space="0" w:color="auto"/>
        <w:bottom w:val="none" w:sz="0" w:space="0" w:color="auto"/>
        <w:right w:val="none" w:sz="0" w:space="0" w:color="auto"/>
      </w:divBdr>
    </w:div>
    <w:div w:id="631445251">
      <w:bodyDiv w:val="1"/>
      <w:marLeft w:val="0"/>
      <w:marRight w:val="0"/>
      <w:marTop w:val="0"/>
      <w:marBottom w:val="0"/>
      <w:divBdr>
        <w:top w:val="none" w:sz="0" w:space="0" w:color="auto"/>
        <w:left w:val="none" w:sz="0" w:space="0" w:color="auto"/>
        <w:bottom w:val="none" w:sz="0" w:space="0" w:color="auto"/>
        <w:right w:val="none" w:sz="0" w:space="0" w:color="auto"/>
      </w:divBdr>
    </w:div>
    <w:div w:id="676884542">
      <w:bodyDiv w:val="1"/>
      <w:marLeft w:val="0"/>
      <w:marRight w:val="0"/>
      <w:marTop w:val="0"/>
      <w:marBottom w:val="0"/>
      <w:divBdr>
        <w:top w:val="none" w:sz="0" w:space="0" w:color="auto"/>
        <w:left w:val="none" w:sz="0" w:space="0" w:color="auto"/>
        <w:bottom w:val="none" w:sz="0" w:space="0" w:color="auto"/>
        <w:right w:val="none" w:sz="0" w:space="0" w:color="auto"/>
      </w:divBdr>
    </w:div>
    <w:div w:id="844514631">
      <w:bodyDiv w:val="1"/>
      <w:marLeft w:val="0"/>
      <w:marRight w:val="0"/>
      <w:marTop w:val="0"/>
      <w:marBottom w:val="0"/>
      <w:divBdr>
        <w:top w:val="none" w:sz="0" w:space="0" w:color="auto"/>
        <w:left w:val="none" w:sz="0" w:space="0" w:color="auto"/>
        <w:bottom w:val="none" w:sz="0" w:space="0" w:color="auto"/>
        <w:right w:val="none" w:sz="0" w:space="0" w:color="auto"/>
      </w:divBdr>
    </w:div>
    <w:div w:id="1013995692">
      <w:bodyDiv w:val="1"/>
      <w:marLeft w:val="0"/>
      <w:marRight w:val="0"/>
      <w:marTop w:val="0"/>
      <w:marBottom w:val="0"/>
      <w:divBdr>
        <w:top w:val="none" w:sz="0" w:space="0" w:color="auto"/>
        <w:left w:val="none" w:sz="0" w:space="0" w:color="auto"/>
        <w:bottom w:val="none" w:sz="0" w:space="0" w:color="auto"/>
        <w:right w:val="none" w:sz="0" w:space="0" w:color="auto"/>
      </w:divBdr>
    </w:div>
    <w:div w:id="1128358111">
      <w:bodyDiv w:val="1"/>
      <w:marLeft w:val="0"/>
      <w:marRight w:val="0"/>
      <w:marTop w:val="0"/>
      <w:marBottom w:val="0"/>
      <w:divBdr>
        <w:top w:val="none" w:sz="0" w:space="0" w:color="auto"/>
        <w:left w:val="none" w:sz="0" w:space="0" w:color="auto"/>
        <w:bottom w:val="none" w:sz="0" w:space="0" w:color="auto"/>
        <w:right w:val="none" w:sz="0" w:space="0" w:color="auto"/>
      </w:divBdr>
    </w:div>
    <w:div w:id="1301888221">
      <w:bodyDiv w:val="1"/>
      <w:marLeft w:val="0"/>
      <w:marRight w:val="0"/>
      <w:marTop w:val="0"/>
      <w:marBottom w:val="0"/>
      <w:divBdr>
        <w:top w:val="none" w:sz="0" w:space="0" w:color="auto"/>
        <w:left w:val="none" w:sz="0" w:space="0" w:color="auto"/>
        <w:bottom w:val="none" w:sz="0" w:space="0" w:color="auto"/>
        <w:right w:val="none" w:sz="0" w:space="0" w:color="auto"/>
      </w:divBdr>
    </w:div>
    <w:div w:id="1654064749">
      <w:bodyDiv w:val="1"/>
      <w:marLeft w:val="0"/>
      <w:marRight w:val="0"/>
      <w:marTop w:val="0"/>
      <w:marBottom w:val="0"/>
      <w:divBdr>
        <w:top w:val="none" w:sz="0" w:space="0" w:color="auto"/>
        <w:left w:val="none" w:sz="0" w:space="0" w:color="auto"/>
        <w:bottom w:val="none" w:sz="0" w:space="0" w:color="auto"/>
        <w:right w:val="none" w:sz="0" w:space="0" w:color="auto"/>
      </w:divBdr>
    </w:div>
    <w:div w:id="1758019380">
      <w:bodyDiv w:val="1"/>
      <w:marLeft w:val="0"/>
      <w:marRight w:val="0"/>
      <w:marTop w:val="0"/>
      <w:marBottom w:val="0"/>
      <w:divBdr>
        <w:top w:val="none" w:sz="0" w:space="0" w:color="auto"/>
        <w:left w:val="none" w:sz="0" w:space="0" w:color="auto"/>
        <w:bottom w:val="none" w:sz="0" w:space="0" w:color="auto"/>
        <w:right w:val="none" w:sz="0" w:space="0" w:color="auto"/>
      </w:divBdr>
    </w:div>
    <w:div w:id="1903056702">
      <w:bodyDiv w:val="1"/>
      <w:marLeft w:val="0"/>
      <w:marRight w:val="0"/>
      <w:marTop w:val="0"/>
      <w:marBottom w:val="0"/>
      <w:divBdr>
        <w:top w:val="none" w:sz="0" w:space="0" w:color="auto"/>
        <w:left w:val="none" w:sz="0" w:space="0" w:color="auto"/>
        <w:bottom w:val="none" w:sz="0" w:space="0" w:color="auto"/>
        <w:right w:val="none" w:sz="0" w:space="0" w:color="auto"/>
      </w:divBdr>
    </w:div>
    <w:div w:id="192803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tradeturquoise.com"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turquoise.com" TargetMode="External"/><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sales@tradeturquoise.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yGane\Desktop\September\Refinitiv\LSE_updated%20Word%20templates_9Aug22\LSE-Turqoise\LSE-Turqoise_Form_A4_Multiple.dotx" TargetMode="External"/></Relationships>
</file>

<file path=word/theme/theme1.xml><?xml version="1.0" encoding="utf-8"?>
<a:theme xmlns:a="http://schemas.openxmlformats.org/drawingml/2006/main" name="Office Theme">
  <a:themeElements>
    <a:clrScheme name="LSEG">
      <a:dk1>
        <a:srgbClr val="000000"/>
      </a:dk1>
      <a:lt1>
        <a:srgbClr val="FFFFFF"/>
      </a:lt1>
      <a:dk2>
        <a:srgbClr val="001DFF"/>
      </a:dk2>
      <a:lt2>
        <a:srgbClr val="D9D9D9"/>
      </a:lt2>
      <a:accent1>
        <a:srgbClr val="001DFF"/>
      </a:accent1>
      <a:accent2>
        <a:srgbClr val="00CFD3"/>
      </a:accent2>
      <a:accent3>
        <a:srgbClr val="9063CC"/>
      </a:accent3>
      <a:accent4>
        <a:srgbClr val="00C389"/>
      </a:accent4>
      <a:accent5>
        <a:srgbClr val="FF5000"/>
      </a:accent5>
      <a:accent6>
        <a:srgbClr val="FFC800"/>
      </a:accent6>
      <a:hlink>
        <a:srgbClr val="001DFF"/>
      </a:hlink>
      <a:folHlink>
        <a:srgbClr val="001D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22D6C1CDAAD44AA44C618A343A427" ma:contentTypeVersion="16" ma:contentTypeDescription="Create a new document." ma:contentTypeScope="" ma:versionID="94fc8acd54f56f11b7860d2ca7e3de34">
  <xsd:schema xmlns:xsd="http://www.w3.org/2001/XMLSchema" xmlns:xs="http://www.w3.org/2001/XMLSchema" xmlns:p="http://schemas.microsoft.com/office/2006/metadata/properties" xmlns:ns2="0ddb778f-8c6c-4000-bcf7-c46fb81a4ae7" xmlns:ns3="ed1f2381-2abc-48a6-97ae-f71dd37da041" targetNamespace="http://schemas.microsoft.com/office/2006/metadata/properties" ma:root="true" ma:fieldsID="2cc1a50cb22f0126f105bc743c15411b" ns2:_="" ns3:_="">
    <xsd:import namespace="0ddb778f-8c6c-4000-bcf7-c46fb81a4ae7"/>
    <xsd:import namespace="ed1f2381-2abc-48a6-97ae-f71dd37da0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b778f-8c6c-4000-bcf7-c46fb81a4a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eecca80-7895-4330-b369-228561d92fb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1f2381-2abc-48a6-97ae-f71dd37da0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5b2a1-fd0d-487c-bcf5-0ed3234f5708}" ma:internalName="TaxCatchAll" ma:showField="CatchAllData" ma:web="ed1f2381-2abc-48a6-97ae-f71dd37da0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db778f-8c6c-4000-bcf7-c46fb81a4ae7">
      <Terms xmlns="http://schemas.microsoft.com/office/infopath/2007/PartnerControls"/>
    </lcf76f155ced4ddcb4097134ff3c332f>
    <TaxCatchAll xmlns="ed1f2381-2abc-48a6-97ae-f71dd37da041" xsi:nil="true"/>
  </documentManagement>
</p:properties>
</file>

<file path=customXml/itemProps1.xml><?xml version="1.0" encoding="utf-8"?>
<ds:datastoreItem xmlns:ds="http://schemas.openxmlformats.org/officeDocument/2006/customXml" ds:itemID="{AF64BC1D-FAE0-488F-9BBA-D070C443CB61}"/>
</file>

<file path=customXml/itemProps2.xml><?xml version="1.0" encoding="utf-8"?>
<ds:datastoreItem xmlns:ds="http://schemas.openxmlformats.org/officeDocument/2006/customXml" ds:itemID="{262B32B6-AEE7-4512-8D35-44732335EE05}"/>
</file>

<file path=customXml/itemProps3.xml><?xml version="1.0" encoding="utf-8"?>
<ds:datastoreItem xmlns:ds="http://schemas.openxmlformats.org/officeDocument/2006/customXml" ds:itemID="{A7863764-D56D-4DCA-87FF-FF0187E9C085}"/>
</file>

<file path=docProps/app.xml><?xml version="1.0" encoding="utf-8"?>
<Properties xmlns="http://schemas.openxmlformats.org/officeDocument/2006/extended-properties" xmlns:vt="http://schemas.openxmlformats.org/officeDocument/2006/docPropsVTypes">
  <Template>LSE-Turqoise_Form_A4_Multiple</Template>
  <TotalTime>11</TotalTime>
  <Pages>3</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Application Form for Liquidity Provider Agreement</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Liquidity Provider Agreement</dc:title>
  <dc:subject>This document forms the application for a Liquidity Provider agreement.</dc:subject>
  <dc:creator/>
  <cp:keywords/>
  <dc:description/>
  <cp:lastModifiedBy>Karthikayan P (TAG IN)</cp:lastModifiedBy>
  <cp:revision>5</cp:revision>
  <cp:lastPrinted>2022-09-28T13:30:00Z</cp:lastPrinted>
  <dcterms:created xsi:type="dcterms:W3CDTF">2022-09-23T12:16:00Z</dcterms:created>
  <dcterms:modified xsi:type="dcterms:W3CDTF">2022-09-28T13:30:00Z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0x01010094322D6C1CDAAD44AA44C618A343A427</vt:lpwstr>
  </property>
</Properties>
</file>